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1067" w14:textId="184C4BE9" w:rsidR="007C2E28" w:rsidRPr="0074757F" w:rsidRDefault="00D7573F" w:rsidP="0074757F">
      <w:pPr>
        <w:pBdr>
          <w:top w:val="single" w:sz="4" w:space="1" w:color="auto"/>
          <w:left w:val="single" w:sz="4" w:space="4" w:color="auto"/>
          <w:bottom w:val="single" w:sz="4" w:space="1" w:color="auto"/>
          <w:right w:val="single" w:sz="4" w:space="4" w:color="auto"/>
        </w:pBdr>
        <w:shd w:val="clear" w:color="auto" w:fill="FBE4D5" w:themeFill="accent2" w:themeFillTint="33"/>
        <w:jc w:val="center"/>
        <w:rPr>
          <w:b/>
          <w:bCs/>
          <w:color w:val="ED7D31" w:themeColor="accent2"/>
          <w:sz w:val="28"/>
          <w:szCs w:val="28"/>
          <w:lang w:val="en-GB"/>
        </w:rPr>
      </w:pPr>
      <w:r w:rsidRPr="0074757F">
        <w:rPr>
          <w:b/>
          <w:bCs/>
          <w:color w:val="ED7D31" w:themeColor="accent2"/>
          <w:sz w:val="28"/>
          <w:szCs w:val="28"/>
          <w:lang w:val="en-GB"/>
        </w:rPr>
        <w:t>TEMPLATE</w:t>
      </w:r>
      <w:r w:rsidR="00037149" w:rsidRPr="0074757F">
        <w:rPr>
          <w:b/>
          <w:bCs/>
          <w:color w:val="ED7D31" w:themeColor="accent2"/>
          <w:sz w:val="28"/>
          <w:szCs w:val="28"/>
          <w:lang w:val="en-GB"/>
        </w:rPr>
        <w:t xml:space="preserve"> FOR AN INTERNAL REGULATION </w:t>
      </w:r>
      <w:r w:rsidR="0074757F" w:rsidRPr="0074757F">
        <w:rPr>
          <w:b/>
          <w:bCs/>
          <w:color w:val="ED7D31" w:themeColor="accent2"/>
          <w:sz w:val="28"/>
          <w:szCs w:val="28"/>
          <w:lang w:val="en-GB"/>
        </w:rPr>
        <w:br/>
      </w:r>
      <w:r w:rsidR="00037149" w:rsidRPr="0074757F">
        <w:rPr>
          <w:b/>
          <w:bCs/>
          <w:color w:val="ED7D31" w:themeColor="accent2"/>
          <w:sz w:val="28"/>
          <w:szCs w:val="28"/>
          <w:lang w:val="en-GB"/>
        </w:rPr>
        <w:t>FOR PROJECT-BASED SUPPLEMENTARY PAYMENTS</w:t>
      </w:r>
    </w:p>
    <w:p w14:paraId="7CB848C7" w14:textId="198F765F" w:rsidR="00037149" w:rsidRPr="0074757F" w:rsidRDefault="00037149" w:rsidP="00D7573F">
      <w:pPr>
        <w:jc w:val="center"/>
        <w:rPr>
          <w:color w:val="ED7D31" w:themeColor="accent2"/>
          <w:lang w:val="en-GB"/>
        </w:rPr>
      </w:pPr>
      <w:r w:rsidRPr="0074757F">
        <w:rPr>
          <w:color w:val="ED7D31" w:themeColor="accent2"/>
          <w:lang w:val="en-GB"/>
        </w:rPr>
        <w:t>February 2023</w:t>
      </w:r>
    </w:p>
    <w:p w14:paraId="31EF05CE" w14:textId="77777777" w:rsidR="0074757F" w:rsidRPr="008D2A7B" w:rsidRDefault="0074757F" w:rsidP="008D2A7B">
      <w:pPr>
        <w:shd w:val="clear" w:color="auto" w:fill="FFFFFF" w:themeFill="background1"/>
        <w:rPr>
          <w:i/>
          <w:iCs/>
          <w:lang w:val="en-GB"/>
        </w:rPr>
      </w:pPr>
    </w:p>
    <w:p w14:paraId="47DC34D9" w14:textId="3C8A53CE" w:rsidR="0013023E" w:rsidRPr="008D2A7B" w:rsidRDefault="0013023E" w:rsidP="008D2A7B">
      <w:pPr>
        <w:shd w:val="clear" w:color="auto" w:fill="FFFFFF" w:themeFill="background1"/>
        <w:rPr>
          <w:i/>
          <w:iCs/>
          <w:lang w:val="en-GB"/>
        </w:rPr>
      </w:pPr>
      <w:r w:rsidRPr="008D2A7B">
        <w:rPr>
          <w:i/>
          <w:iCs/>
          <w:lang w:val="en-GB"/>
        </w:rPr>
        <w:t xml:space="preserve">The primary goal is to establish </w:t>
      </w:r>
      <w:r w:rsidRPr="00115527">
        <w:rPr>
          <w:b/>
          <w:bCs/>
          <w:i/>
          <w:iCs/>
          <w:color w:val="ED7D31" w:themeColor="accent2"/>
          <w:lang w:val="en-GB"/>
        </w:rPr>
        <w:t>a set of guidelines</w:t>
      </w:r>
      <w:r w:rsidRPr="00115527">
        <w:rPr>
          <w:i/>
          <w:iCs/>
          <w:color w:val="ED7D31" w:themeColor="accent2"/>
          <w:lang w:val="en-GB"/>
        </w:rPr>
        <w:t xml:space="preserve"> </w:t>
      </w:r>
      <w:r w:rsidRPr="008D2A7B">
        <w:rPr>
          <w:i/>
          <w:iCs/>
          <w:lang w:val="en-GB"/>
        </w:rPr>
        <w:t xml:space="preserve">that are both compatible with national and Horizon Europe projects. These guidelines will streamline and clarify the process of calculating eligible personnel costs in Horizon Europe </w:t>
      </w:r>
      <w:r w:rsidRPr="00115527">
        <w:rPr>
          <w:b/>
          <w:bCs/>
          <w:i/>
          <w:iCs/>
          <w:color w:val="ED7D31" w:themeColor="accent2"/>
          <w:lang w:val="en-GB"/>
        </w:rPr>
        <w:t>projects</w:t>
      </w:r>
      <w:r w:rsidR="00115527" w:rsidRPr="00115527">
        <w:rPr>
          <w:b/>
          <w:bCs/>
          <w:i/>
          <w:iCs/>
          <w:color w:val="ED7D31" w:themeColor="accent2"/>
          <w:lang w:val="en-GB"/>
        </w:rPr>
        <w:t>-based remuneration</w:t>
      </w:r>
      <w:r w:rsidRPr="008D2A7B">
        <w:rPr>
          <w:i/>
          <w:iCs/>
          <w:lang w:val="en-GB"/>
        </w:rPr>
        <w:t>. This will enable Czech beneficiaries to transition from the fallback option, which relies on the national project daily rate reflecting the average remuneration of an individual over the past year, to a more predictable and objective system governed by their written internal remuneration rules.</w:t>
      </w:r>
      <w:r w:rsidR="001F276C">
        <w:rPr>
          <w:i/>
          <w:iCs/>
          <w:lang w:val="en-GB"/>
        </w:rPr>
        <w:t xml:space="preserve"> </w:t>
      </w:r>
      <w:r w:rsidR="001F276C">
        <w:rPr>
          <w:rFonts w:ascii="Calibri" w:hAnsi="Calibri" w:cs="Calibri"/>
          <w:i/>
          <w:iCs/>
          <w:color w:val="000000"/>
          <w:lang w:val="en-GB"/>
        </w:rPr>
        <w:t xml:space="preserve">Introduction of such internal regulation is </w:t>
      </w:r>
      <w:r w:rsidR="001F276C">
        <w:rPr>
          <w:rFonts w:ascii="Calibri" w:hAnsi="Calibri" w:cs="Calibri"/>
          <w:b/>
          <w:bCs/>
          <w:i/>
          <w:iCs/>
          <w:color w:val="ED7D31"/>
          <w:lang w:val="en-GB"/>
        </w:rPr>
        <w:t>a voluntary</w:t>
      </w:r>
      <w:r w:rsidR="001F276C">
        <w:rPr>
          <w:rFonts w:ascii="Calibri" w:hAnsi="Calibri" w:cs="Calibri"/>
          <w:i/>
          <w:iCs/>
          <w:color w:val="ED7D31"/>
          <w:lang w:val="en-GB"/>
        </w:rPr>
        <w:t xml:space="preserve"> </w:t>
      </w:r>
      <w:r w:rsidR="001F276C">
        <w:rPr>
          <w:rFonts w:ascii="Calibri" w:hAnsi="Calibri" w:cs="Calibri"/>
          <w:i/>
          <w:iCs/>
          <w:color w:val="000000"/>
          <w:lang w:val="en-GB"/>
        </w:rPr>
        <w:t>decision of the institution resulting in a possibly more efficient system, it is not an obligation in Horizon Europe.</w:t>
      </w:r>
    </w:p>
    <w:p w14:paraId="03627531" w14:textId="7D58B7A8" w:rsidR="0013023E" w:rsidRPr="00E03DE6" w:rsidRDefault="0074757F" w:rsidP="008D2A7B">
      <w:pPr>
        <w:shd w:val="clear" w:color="auto" w:fill="FFFFFF" w:themeFill="background1"/>
        <w:rPr>
          <w:i/>
          <w:iCs/>
          <w:lang w:val="en-GB"/>
        </w:rPr>
      </w:pPr>
      <w:r w:rsidRPr="008D2A7B">
        <w:rPr>
          <w:i/>
          <w:iCs/>
          <w:lang w:val="en-GB"/>
        </w:rPr>
        <w:t xml:space="preserve">It was </w:t>
      </w:r>
      <w:r w:rsidRPr="00115527">
        <w:rPr>
          <w:b/>
          <w:bCs/>
          <w:i/>
          <w:iCs/>
          <w:color w:val="ED7D31" w:themeColor="accent2"/>
          <w:lang w:val="en-GB"/>
        </w:rPr>
        <w:t>produced by the Czech Financial and Legal National Contact Points</w:t>
      </w:r>
      <w:r w:rsidRPr="008D2A7B">
        <w:rPr>
          <w:i/>
          <w:iCs/>
          <w:lang w:val="en-GB"/>
        </w:rPr>
        <w:t xml:space="preserve"> for Horizon Europe from Technology Centre Praha and </w:t>
      </w:r>
      <w:r w:rsidR="0013023E" w:rsidRPr="008D2A7B">
        <w:rPr>
          <w:i/>
          <w:iCs/>
          <w:lang w:val="en-GB"/>
        </w:rPr>
        <w:t xml:space="preserve">shared </w:t>
      </w:r>
      <w:r w:rsidR="0013023E" w:rsidRPr="00115527">
        <w:rPr>
          <w:b/>
          <w:bCs/>
          <w:i/>
          <w:iCs/>
          <w:color w:val="ED7D31" w:themeColor="accent2"/>
          <w:lang w:val="en-GB"/>
        </w:rPr>
        <w:t>with the European Commission (DG RTD) for feedback</w:t>
      </w:r>
      <w:r w:rsidR="0013023E" w:rsidRPr="008D2A7B">
        <w:rPr>
          <w:i/>
          <w:iCs/>
          <w:lang w:val="en-GB"/>
        </w:rPr>
        <w:t>. While the response from the Commission does not constitute formal or informal approval or endorsement, it is encouraging that there were no significant objections raised</w:t>
      </w:r>
      <w:r w:rsidR="00E03DE6">
        <w:rPr>
          <w:i/>
          <w:iCs/>
          <w:lang w:val="en-GB"/>
        </w:rPr>
        <w:t xml:space="preserve"> and we have </w:t>
      </w:r>
      <w:proofErr w:type="gramStart"/>
      <w:r w:rsidR="00E03DE6">
        <w:rPr>
          <w:i/>
          <w:iCs/>
          <w:lang w:val="en-GB"/>
        </w:rPr>
        <w:t>made adjustments</w:t>
      </w:r>
      <w:proofErr w:type="gramEnd"/>
      <w:r w:rsidR="00E03DE6">
        <w:rPr>
          <w:i/>
          <w:iCs/>
          <w:lang w:val="en-GB"/>
        </w:rPr>
        <w:t xml:space="preserve"> based on Co</w:t>
      </w:r>
      <w:r w:rsidR="00F203A8">
        <w:rPr>
          <w:i/>
          <w:iCs/>
          <w:lang w:val="en-GB"/>
        </w:rPr>
        <w:t>m</w:t>
      </w:r>
      <w:r w:rsidR="00E03DE6">
        <w:rPr>
          <w:i/>
          <w:iCs/>
          <w:lang w:val="en-GB"/>
        </w:rPr>
        <w:t>mission</w:t>
      </w:r>
      <w:r w:rsidR="00E03DE6">
        <w:rPr>
          <w:i/>
          <w:iCs/>
          <w:lang w:val="en-US"/>
        </w:rPr>
        <w:t>’s recommendations.</w:t>
      </w:r>
    </w:p>
    <w:p w14:paraId="74EF6C72" w14:textId="2DC1C2BE" w:rsidR="0013023E" w:rsidRPr="008D2A7B" w:rsidRDefault="0013023E" w:rsidP="008D2A7B">
      <w:pPr>
        <w:shd w:val="clear" w:color="auto" w:fill="FFFFFF" w:themeFill="background1"/>
        <w:rPr>
          <w:i/>
          <w:iCs/>
          <w:lang w:val="en-GB"/>
        </w:rPr>
      </w:pPr>
      <w:r w:rsidRPr="008D2A7B">
        <w:rPr>
          <w:i/>
          <w:iCs/>
          <w:lang w:val="en-GB"/>
        </w:rPr>
        <w:t xml:space="preserve">It is important to note that while this document is </w:t>
      </w:r>
      <w:r w:rsidR="008D2A7B" w:rsidRPr="008D2A7B">
        <w:rPr>
          <w:i/>
          <w:iCs/>
          <w:lang w:val="en-GB"/>
        </w:rPr>
        <w:t xml:space="preserve">created with </w:t>
      </w:r>
      <w:r w:rsidRPr="008D2A7B">
        <w:rPr>
          <w:i/>
          <w:iCs/>
          <w:lang w:val="en-GB"/>
        </w:rPr>
        <w:t xml:space="preserve">our comprehensive expertise, it is intended </w:t>
      </w:r>
      <w:r w:rsidRPr="00B972CB">
        <w:rPr>
          <w:b/>
          <w:bCs/>
          <w:i/>
          <w:iCs/>
          <w:color w:val="ED7D31" w:themeColor="accent2"/>
          <w:lang w:val="en-GB"/>
        </w:rPr>
        <w:t>purely for informational purposes</w:t>
      </w:r>
      <w:r w:rsidRPr="008D2A7B">
        <w:rPr>
          <w:i/>
          <w:iCs/>
          <w:lang w:val="en-GB"/>
        </w:rPr>
        <w:t xml:space="preserve">. It should serve as a </w:t>
      </w:r>
      <w:r w:rsidR="00783A70">
        <w:rPr>
          <w:i/>
          <w:iCs/>
          <w:lang w:val="en-GB"/>
        </w:rPr>
        <w:t>general</w:t>
      </w:r>
      <w:r w:rsidR="00783A70" w:rsidRPr="008D2A7B">
        <w:rPr>
          <w:i/>
          <w:iCs/>
          <w:lang w:val="en-GB"/>
        </w:rPr>
        <w:t xml:space="preserve"> </w:t>
      </w:r>
      <w:r w:rsidRPr="00115527">
        <w:rPr>
          <w:b/>
          <w:bCs/>
          <w:i/>
          <w:iCs/>
          <w:color w:val="ED7D31" w:themeColor="accent2"/>
          <w:lang w:val="en-GB"/>
        </w:rPr>
        <w:t>resource for institutions to develop their own tailored methodologies</w:t>
      </w:r>
      <w:r w:rsidRPr="008D2A7B">
        <w:rPr>
          <w:i/>
          <w:iCs/>
          <w:lang w:val="en-GB"/>
        </w:rPr>
        <w:t xml:space="preserve">. </w:t>
      </w:r>
    </w:p>
    <w:p w14:paraId="4D09CE18" w14:textId="77777777" w:rsidR="008D2A7B" w:rsidRDefault="008D2A7B" w:rsidP="00037149">
      <w:pPr>
        <w:rPr>
          <w:lang w:val="en-GB"/>
        </w:rPr>
      </w:pPr>
    </w:p>
    <w:p w14:paraId="7D952A0C" w14:textId="77777777" w:rsidR="00037149" w:rsidRPr="00E47890" w:rsidRDefault="00037149" w:rsidP="002F09BC">
      <w:pPr>
        <w:shd w:val="clear" w:color="auto" w:fill="D9E2F3" w:themeFill="accent5" w:themeFillTint="33"/>
        <w:jc w:val="center"/>
        <w:rPr>
          <w:b/>
          <w:bCs/>
          <w:sz w:val="24"/>
          <w:szCs w:val="24"/>
          <w:lang w:val="en-GB"/>
        </w:rPr>
      </w:pPr>
    </w:p>
    <w:p w14:paraId="3A85E37B" w14:textId="3D74B0B0" w:rsidR="007C2E28" w:rsidRPr="00E47890" w:rsidRDefault="001B6D3D" w:rsidP="002F09BC">
      <w:pPr>
        <w:shd w:val="clear" w:color="auto" w:fill="D9E2F3" w:themeFill="accent5" w:themeFillTint="33"/>
        <w:jc w:val="center"/>
        <w:rPr>
          <w:b/>
          <w:bCs/>
          <w:sz w:val="24"/>
          <w:szCs w:val="24"/>
          <w:lang w:val="en-GB"/>
        </w:rPr>
      </w:pPr>
      <w:r w:rsidRPr="00E47890">
        <w:rPr>
          <w:b/>
          <w:bCs/>
          <w:sz w:val="24"/>
          <w:szCs w:val="24"/>
          <w:lang w:val="en-GB"/>
        </w:rPr>
        <w:t>Written internal regulation for project-based supplementary payments</w:t>
      </w:r>
    </w:p>
    <w:p w14:paraId="3A9BD7A3" w14:textId="77777777" w:rsidR="004019BC" w:rsidRPr="00E47890" w:rsidRDefault="002A62D7" w:rsidP="002F09BC">
      <w:pPr>
        <w:shd w:val="clear" w:color="auto" w:fill="D9E2F3" w:themeFill="accent5" w:themeFillTint="33"/>
        <w:jc w:val="center"/>
        <w:rPr>
          <w:rFonts w:cstheme="minorHAnsi"/>
          <w:lang w:val="en-GB"/>
        </w:rPr>
      </w:pPr>
      <w:r w:rsidRPr="00E47890">
        <w:rPr>
          <w:rFonts w:cstheme="minorHAnsi"/>
          <w:lang w:val="en-GB"/>
        </w:rPr>
        <w:t>[</w:t>
      </w:r>
      <w:r w:rsidRPr="00E47890">
        <w:rPr>
          <w:i/>
          <w:iCs/>
          <w:lang w:val="en-GB"/>
        </w:rPr>
        <w:t>FORMAT</w:t>
      </w:r>
      <w:r w:rsidRPr="00E47890">
        <w:rPr>
          <w:rFonts w:cstheme="minorHAnsi"/>
          <w:lang w:val="en-GB"/>
        </w:rPr>
        <w:t>]</w:t>
      </w:r>
    </w:p>
    <w:p w14:paraId="63B7428B" w14:textId="1C38FE0E" w:rsidR="004462F8" w:rsidRPr="00E47890" w:rsidRDefault="004462F8" w:rsidP="002F09BC">
      <w:pPr>
        <w:shd w:val="clear" w:color="auto" w:fill="D9E2F3" w:themeFill="accent5" w:themeFillTint="33"/>
        <w:jc w:val="center"/>
        <w:rPr>
          <w:lang w:val="en-GB"/>
        </w:rPr>
      </w:pPr>
      <w:r w:rsidRPr="370ABA07">
        <w:rPr>
          <w:lang w:val="en-GB"/>
        </w:rPr>
        <w:t>[</w:t>
      </w:r>
      <w:r w:rsidRPr="370ABA07">
        <w:rPr>
          <w:i/>
          <w:iCs/>
          <w:lang w:val="en-GB"/>
        </w:rPr>
        <w:t>I</w:t>
      </w:r>
      <w:r w:rsidR="008A59B9" w:rsidRPr="370ABA07">
        <w:rPr>
          <w:i/>
          <w:iCs/>
          <w:lang w:val="en-GB"/>
        </w:rPr>
        <w:t>NS</w:t>
      </w:r>
      <w:r w:rsidRPr="370ABA07">
        <w:rPr>
          <w:i/>
          <w:iCs/>
          <w:lang w:val="en-GB"/>
        </w:rPr>
        <w:t>TITUTION OR ITS PART</w:t>
      </w:r>
      <w:r w:rsidRPr="370ABA07">
        <w:rPr>
          <w:lang w:val="en-GB"/>
        </w:rPr>
        <w:t>]</w:t>
      </w:r>
    </w:p>
    <w:p w14:paraId="0535E808" w14:textId="424F68FA" w:rsidR="004019BC" w:rsidRPr="00E47890" w:rsidRDefault="004019BC" w:rsidP="002F09BC">
      <w:pPr>
        <w:shd w:val="clear" w:color="auto" w:fill="D9E2F3" w:themeFill="accent5" w:themeFillTint="33"/>
        <w:jc w:val="center"/>
        <w:rPr>
          <w:rFonts w:cstheme="minorHAnsi"/>
          <w:lang w:val="en-GB"/>
        </w:rPr>
      </w:pPr>
      <w:r w:rsidRPr="00E47890">
        <w:rPr>
          <w:rFonts w:cstheme="minorHAnsi"/>
          <w:lang w:val="en-GB"/>
        </w:rPr>
        <w:t>Effective</w:t>
      </w:r>
      <w:r w:rsidR="00F138A3" w:rsidRPr="00E47890">
        <w:rPr>
          <w:rFonts w:cstheme="minorHAnsi"/>
          <w:lang w:val="en-GB"/>
        </w:rPr>
        <w:t xml:space="preserve"> for </w:t>
      </w:r>
      <w:r w:rsidR="00423B79" w:rsidRPr="00E47890">
        <w:rPr>
          <w:rFonts w:cstheme="minorHAnsi"/>
          <w:lang w:val="en-GB"/>
        </w:rPr>
        <w:t>[</w:t>
      </w:r>
      <w:r w:rsidR="00F138A3" w:rsidRPr="00E47890">
        <w:rPr>
          <w:rFonts w:cstheme="minorHAnsi"/>
          <w:lang w:val="en-GB"/>
        </w:rPr>
        <w:t>all/new</w:t>
      </w:r>
      <w:r w:rsidR="00423B79" w:rsidRPr="00E47890">
        <w:rPr>
          <w:rFonts w:cstheme="minorHAnsi"/>
          <w:lang w:val="en-GB"/>
        </w:rPr>
        <w:t>]</w:t>
      </w:r>
      <w:r w:rsidR="00F138A3" w:rsidRPr="00E47890">
        <w:rPr>
          <w:rFonts w:cstheme="minorHAnsi"/>
          <w:lang w:val="en-GB"/>
        </w:rPr>
        <w:t xml:space="preserve"> </w:t>
      </w:r>
      <w:r w:rsidR="00423B79" w:rsidRPr="00E47890">
        <w:rPr>
          <w:rFonts w:cstheme="minorHAnsi"/>
          <w:lang w:val="en-GB"/>
        </w:rPr>
        <w:t xml:space="preserve">relevant </w:t>
      </w:r>
      <w:r w:rsidR="00F138A3" w:rsidRPr="00E47890">
        <w:rPr>
          <w:rFonts w:cstheme="minorHAnsi"/>
          <w:lang w:val="en-GB"/>
        </w:rPr>
        <w:t>projects</w:t>
      </w:r>
      <w:r w:rsidRPr="00E47890">
        <w:rPr>
          <w:rFonts w:cstheme="minorHAnsi"/>
          <w:lang w:val="en-GB"/>
        </w:rPr>
        <w:t xml:space="preserve"> from [</w:t>
      </w:r>
      <w:r w:rsidRPr="00E47890">
        <w:rPr>
          <w:rFonts w:cstheme="minorHAnsi"/>
          <w:i/>
          <w:iCs/>
          <w:lang w:val="en-GB"/>
        </w:rPr>
        <w:t>DATE</w:t>
      </w:r>
      <w:r w:rsidRPr="00E47890">
        <w:rPr>
          <w:rFonts w:cstheme="minorHAnsi"/>
          <w:lang w:val="en-GB"/>
        </w:rPr>
        <w:t>]</w:t>
      </w:r>
    </w:p>
    <w:p w14:paraId="6B31C0E0" w14:textId="7ED4D44F" w:rsidR="004462F8" w:rsidRPr="00E47890" w:rsidRDefault="002A62D7" w:rsidP="002F09BC">
      <w:pPr>
        <w:shd w:val="clear" w:color="auto" w:fill="D9E2F3" w:themeFill="accent5" w:themeFillTint="33"/>
        <w:rPr>
          <w:lang w:val="en-GB"/>
        </w:rPr>
      </w:pPr>
      <w:r w:rsidRPr="370ABA07">
        <w:rPr>
          <w:lang w:val="en-GB"/>
        </w:rPr>
        <w:t xml:space="preserve">For the time worked in </w:t>
      </w:r>
      <w:r w:rsidR="00B6505C" w:rsidRPr="370ABA07">
        <w:rPr>
          <w:lang w:val="en-GB"/>
        </w:rPr>
        <w:t>projects [</w:t>
      </w:r>
      <w:r w:rsidR="00B6505C" w:rsidRPr="370ABA07">
        <w:rPr>
          <w:i/>
          <w:iCs/>
          <w:lang w:val="en-GB"/>
        </w:rPr>
        <w:t>TYPE OF PROJECT</w:t>
      </w:r>
      <w:r w:rsidR="00310F4F" w:rsidRPr="370ABA07">
        <w:rPr>
          <w:i/>
          <w:iCs/>
          <w:lang w:val="en-GB"/>
        </w:rPr>
        <w:t>S</w:t>
      </w:r>
      <w:r w:rsidR="00B6505C" w:rsidRPr="370ABA07">
        <w:rPr>
          <w:lang w:val="en-GB"/>
        </w:rPr>
        <w:t xml:space="preserve">] </w:t>
      </w:r>
      <w:r w:rsidRPr="370ABA07">
        <w:rPr>
          <w:lang w:val="en-GB"/>
        </w:rPr>
        <w:t>financed from external sources (national and foreign)</w:t>
      </w:r>
      <w:r w:rsidR="00F63CA0">
        <w:rPr>
          <w:lang w:val="en-GB"/>
        </w:rPr>
        <w:t xml:space="preserve"> </w:t>
      </w:r>
      <w:r w:rsidR="00310F4F" w:rsidRPr="370ABA07">
        <w:rPr>
          <w:lang w:val="en-GB"/>
        </w:rPr>
        <w:t>[</w:t>
      </w:r>
      <w:r w:rsidR="00310F4F" w:rsidRPr="370ABA07">
        <w:rPr>
          <w:i/>
          <w:iCs/>
          <w:lang w:val="en-GB"/>
        </w:rPr>
        <w:t>FUNDING SCHEME</w:t>
      </w:r>
      <w:r w:rsidR="00495162" w:rsidRPr="370ABA07">
        <w:rPr>
          <w:i/>
          <w:iCs/>
          <w:lang w:val="en-GB"/>
        </w:rPr>
        <w:t>S</w:t>
      </w:r>
      <w:r w:rsidR="00310F4F" w:rsidRPr="370ABA07">
        <w:rPr>
          <w:lang w:val="en-GB"/>
        </w:rPr>
        <w:t>]</w:t>
      </w:r>
      <w:r w:rsidR="00347A1A" w:rsidRPr="370ABA07">
        <w:rPr>
          <w:lang w:val="en-GB"/>
        </w:rPr>
        <w:t>,</w:t>
      </w:r>
      <w:r w:rsidR="00310F4F" w:rsidRPr="370ABA07">
        <w:rPr>
          <w:lang w:val="en-GB"/>
        </w:rPr>
        <w:t xml:space="preserve"> </w:t>
      </w:r>
      <w:r w:rsidRPr="370ABA07">
        <w:rPr>
          <w:lang w:val="en-GB"/>
        </w:rPr>
        <w:t xml:space="preserve">a </w:t>
      </w:r>
      <w:r w:rsidR="00012D25" w:rsidRPr="370ABA07">
        <w:rPr>
          <w:lang w:val="en-GB"/>
        </w:rPr>
        <w:t xml:space="preserve">[STAFF] </w:t>
      </w:r>
      <w:r w:rsidRPr="370ABA07">
        <w:rPr>
          <w:lang w:val="en-GB"/>
        </w:rPr>
        <w:t xml:space="preserve">will be paid </w:t>
      </w:r>
      <w:r w:rsidR="004462F8" w:rsidRPr="370ABA07">
        <w:rPr>
          <w:lang w:val="en-GB"/>
        </w:rPr>
        <w:t>supplementary payment</w:t>
      </w:r>
      <w:r w:rsidRPr="370ABA07">
        <w:rPr>
          <w:lang w:val="en-GB"/>
        </w:rPr>
        <w:t xml:space="preserve"> in the </w:t>
      </w:r>
      <w:r w:rsidR="008C7DF1" w:rsidRPr="370ABA07">
        <w:rPr>
          <w:lang w:val="en-GB"/>
        </w:rPr>
        <w:t>form</w:t>
      </w:r>
      <w:r w:rsidRPr="370ABA07">
        <w:rPr>
          <w:lang w:val="en-GB"/>
        </w:rPr>
        <w:t xml:space="preserve"> </w:t>
      </w:r>
      <w:r w:rsidR="00495162" w:rsidRPr="370ABA07">
        <w:rPr>
          <w:lang w:val="en-GB"/>
        </w:rPr>
        <w:t>of [</w:t>
      </w:r>
      <w:r w:rsidR="00495162" w:rsidRPr="370ABA07">
        <w:rPr>
          <w:i/>
          <w:iCs/>
          <w:lang w:val="en-GB"/>
        </w:rPr>
        <w:t>FORM OF THE</w:t>
      </w:r>
      <w:r w:rsidR="00495162" w:rsidRPr="370ABA07">
        <w:rPr>
          <w:lang w:val="en-GB"/>
        </w:rPr>
        <w:t xml:space="preserve"> </w:t>
      </w:r>
      <w:r w:rsidR="004462F8" w:rsidRPr="370ABA07">
        <w:rPr>
          <w:i/>
          <w:iCs/>
          <w:lang w:val="en-GB"/>
        </w:rPr>
        <w:t>AMOUNT</w:t>
      </w:r>
      <w:r w:rsidR="004462F8" w:rsidRPr="370ABA07">
        <w:rPr>
          <w:lang w:val="en-GB"/>
        </w:rPr>
        <w:t>]</w:t>
      </w:r>
      <w:r w:rsidRPr="370ABA07">
        <w:rPr>
          <w:lang w:val="en-GB"/>
        </w:rPr>
        <w:t xml:space="preserve">, in proportion to </w:t>
      </w:r>
      <w:r w:rsidR="008A59B9" w:rsidRPr="370ABA07">
        <w:rPr>
          <w:lang w:val="en-GB"/>
        </w:rPr>
        <w:t>thei</w:t>
      </w:r>
      <w:r w:rsidR="00CA53D3" w:rsidRPr="370ABA07">
        <w:rPr>
          <w:lang w:val="en-GB"/>
        </w:rPr>
        <w:t>r</w:t>
      </w:r>
      <w:r w:rsidRPr="370ABA07">
        <w:rPr>
          <w:lang w:val="en-GB"/>
        </w:rPr>
        <w:t xml:space="preserve"> working time in the project.</w:t>
      </w:r>
      <w:r w:rsidR="004019BC" w:rsidRPr="370ABA07">
        <w:rPr>
          <w:lang w:val="en-GB"/>
        </w:rPr>
        <w:t xml:space="preserve"> The specific amounts are defined in Table 1, reflecting [</w:t>
      </w:r>
      <w:r w:rsidR="00C5787A" w:rsidRPr="370ABA07">
        <w:rPr>
          <w:i/>
          <w:iCs/>
          <w:lang w:val="en-GB"/>
        </w:rPr>
        <w:t>CRITERIA</w:t>
      </w:r>
      <w:r w:rsidR="004019BC" w:rsidRPr="370ABA07">
        <w:rPr>
          <w:lang w:val="en-GB"/>
        </w:rPr>
        <w:t>]</w:t>
      </w:r>
      <w:r w:rsidR="008C7DF1" w:rsidRPr="370ABA07">
        <w:rPr>
          <w:lang w:val="en-GB"/>
        </w:rPr>
        <w:t>, and will be paid to the [STAFF] [</w:t>
      </w:r>
      <w:r w:rsidR="008C7DF1" w:rsidRPr="370ABA07">
        <w:rPr>
          <w:i/>
          <w:iCs/>
          <w:lang w:val="en-GB"/>
        </w:rPr>
        <w:t>FREQUENCY</w:t>
      </w:r>
      <w:r w:rsidR="008C7DF1" w:rsidRPr="370ABA07">
        <w:rPr>
          <w:lang w:val="en-GB"/>
        </w:rPr>
        <w:t>].</w:t>
      </w:r>
    </w:p>
    <w:p w14:paraId="1E9BED46" w14:textId="40AB22F5" w:rsidR="004019BC" w:rsidRPr="00E47890" w:rsidRDefault="004019BC" w:rsidP="002F09BC">
      <w:pPr>
        <w:shd w:val="clear" w:color="auto" w:fill="D9E2F3" w:themeFill="accent5" w:themeFillTint="33"/>
        <w:jc w:val="center"/>
        <w:rPr>
          <w:rFonts w:cstheme="minorHAnsi"/>
          <w:lang w:val="en-GB"/>
        </w:rPr>
      </w:pPr>
      <w:r w:rsidRPr="00E47890">
        <w:rPr>
          <w:rFonts w:cstheme="minorHAnsi"/>
          <w:lang w:val="en-GB"/>
        </w:rPr>
        <w:t>[</w:t>
      </w:r>
      <w:r w:rsidRPr="00E47890">
        <w:rPr>
          <w:i/>
          <w:iCs/>
          <w:lang w:val="en-GB"/>
        </w:rPr>
        <w:t>TABLE 1</w:t>
      </w:r>
      <w:r w:rsidRPr="00E47890">
        <w:rPr>
          <w:rFonts w:cstheme="minorHAnsi"/>
          <w:lang w:val="en-GB"/>
        </w:rPr>
        <w:t>]</w:t>
      </w:r>
    </w:p>
    <w:p w14:paraId="0068F4BD" w14:textId="77777777" w:rsidR="007C2E28" w:rsidRPr="00E47890" w:rsidRDefault="007C2E28" w:rsidP="002F09BC">
      <w:pPr>
        <w:shd w:val="clear" w:color="auto" w:fill="D9E2F3" w:themeFill="accent5" w:themeFillTint="33"/>
        <w:jc w:val="center"/>
        <w:rPr>
          <w:rFonts w:cstheme="minorHAnsi"/>
          <w:lang w:val="en-GB"/>
        </w:rPr>
      </w:pPr>
    </w:p>
    <w:p w14:paraId="6920B4FF" w14:textId="5954D8CC" w:rsidR="002A62D7" w:rsidRPr="00E47890" w:rsidRDefault="002A62D7" w:rsidP="002A62D7">
      <w:pPr>
        <w:rPr>
          <w:b/>
          <w:bCs/>
          <w:lang w:val="en-GB"/>
        </w:rPr>
      </w:pPr>
      <w:r w:rsidRPr="00E47890">
        <w:rPr>
          <w:b/>
          <w:bCs/>
          <w:lang w:val="en-GB"/>
        </w:rPr>
        <w:t>Explanations:</w:t>
      </w:r>
    </w:p>
    <w:p w14:paraId="5E726A78" w14:textId="77777777" w:rsidR="00B6505C" w:rsidRPr="00E47890" w:rsidRDefault="00B6505C" w:rsidP="00B6505C">
      <w:pPr>
        <w:rPr>
          <w:rFonts w:cstheme="minorHAnsi"/>
          <w:lang w:val="en-GB"/>
        </w:rPr>
      </w:pPr>
      <w:r w:rsidRPr="00E47890">
        <w:rPr>
          <w:rFonts w:cstheme="minorHAnsi"/>
          <w:lang w:val="en-GB"/>
        </w:rPr>
        <w:t>[</w:t>
      </w:r>
      <w:r w:rsidRPr="00E47890">
        <w:rPr>
          <w:i/>
          <w:iCs/>
          <w:lang w:val="en-GB"/>
        </w:rPr>
        <w:t>FORMAT</w:t>
      </w:r>
      <w:r w:rsidRPr="00E47890">
        <w:rPr>
          <w:rFonts w:cstheme="minorHAnsi"/>
          <w:lang w:val="en-GB"/>
        </w:rPr>
        <w:t>]</w:t>
      </w:r>
    </w:p>
    <w:p w14:paraId="5774E97F" w14:textId="1F953BF8" w:rsidR="002A62D7" w:rsidRPr="00E47890" w:rsidRDefault="002A62D7" w:rsidP="002A62D7">
      <w:pPr>
        <w:rPr>
          <w:rFonts w:ascii="Calibri" w:eastAsia="Calibri" w:hAnsi="Calibri" w:cs="Calibri"/>
          <w:lang w:val="en-GB"/>
        </w:rPr>
      </w:pPr>
      <w:r w:rsidRPr="370ABA07">
        <w:rPr>
          <w:lang w:val="en-GB"/>
        </w:rPr>
        <w:t xml:space="preserve">The internal regulation </w:t>
      </w:r>
      <w:r w:rsidR="004462F8" w:rsidRPr="370ABA07">
        <w:rPr>
          <w:lang w:val="en-GB"/>
        </w:rPr>
        <w:t>must</w:t>
      </w:r>
      <w:r w:rsidRPr="370ABA07">
        <w:rPr>
          <w:lang w:val="en-GB"/>
        </w:rPr>
        <w:t xml:space="preserve"> have a written</w:t>
      </w:r>
      <w:r w:rsidR="008A59B9" w:rsidRPr="370ABA07">
        <w:rPr>
          <w:lang w:val="en-GB"/>
        </w:rPr>
        <w:t>,</w:t>
      </w:r>
      <w:r w:rsidRPr="370ABA07">
        <w:rPr>
          <w:lang w:val="en-GB"/>
        </w:rPr>
        <w:t xml:space="preserve"> formally binding format </w:t>
      </w:r>
      <w:r w:rsidRPr="370ABA07">
        <w:rPr>
          <w:rFonts w:ascii="Calibri" w:eastAsia="Calibri" w:hAnsi="Calibri" w:cs="Calibri"/>
          <w:lang w:val="en-GB"/>
        </w:rPr>
        <w:t>(e.g.</w:t>
      </w:r>
      <w:r w:rsidR="004462F8" w:rsidRPr="370ABA07">
        <w:rPr>
          <w:rFonts w:ascii="Calibri" w:eastAsia="Calibri" w:hAnsi="Calibri" w:cs="Calibri"/>
          <w:lang w:val="en-GB"/>
        </w:rPr>
        <w:t>,</w:t>
      </w:r>
      <w:r w:rsidRPr="370ABA07">
        <w:rPr>
          <w:rFonts w:ascii="Calibri" w:eastAsia="Calibri" w:hAnsi="Calibri" w:cs="Calibri"/>
          <w:lang w:val="en-GB"/>
        </w:rPr>
        <w:t xml:space="preserve"> the form of a directive or methodological guidance</w:t>
      </w:r>
      <w:r w:rsidR="004462F8" w:rsidRPr="370ABA07">
        <w:rPr>
          <w:rFonts w:ascii="Calibri" w:eastAsia="Calibri" w:hAnsi="Calibri" w:cs="Calibri"/>
          <w:lang w:val="en-GB"/>
        </w:rPr>
        <w:t xml:space="preserve"> or other, depending on the usual internal practices of the institution</w:t>
      </w:r>
      <w:r w:rsidR="00F826D6">
        <w:rPr>
          <w:rFonts w:ascii="Calibri" w:eastAsia="Calibri" w:hAnsi="Calibri" w:cs="Calibri"/>
          <w:lang w:val="en-GB"/>
        </w:rPr>
        <w:t xml:space="preserve"> and in line with the applicable legislation</w:t>
      </w:r>
      <w:r w:rsidRPr="370ABA07">
        <w:rPr>
          <w:rFonts w:ascii="Calibri" w:eastAsia="Calibri" w:hAnsi="Calibri" w:cs="Calibri"/>
          <w:lang w:val="en-GB"/>
        </w:rPr>
        <w:t>)</w:t>
      </w:r>
      <w:r w:rsidR="004462F8" w:rsidRPr="370ABA07">
        <w:rPr>
          <w:rFonts w:ascii="Calibri" w:eastAsia="Calibri" w:hAnsi="Calibri" w:cs="Calibri"/>
          <w:lang w:val="en-GB"/>
        </w:rPr>
        <w:t>.</w:t>
      </w:r>
    </w:p>
    <w:p w14:paraId="399DDC02" w14:textId="2393DF25" w:rsidR="00B6505C" w:rsidRPr="00E47890" w:rsidRDefault="00B6505C" w:rsidP="00B6505C">
      <w:pPr>
        <w:rPr>
          <w:lang w:val="en-GB"/>
        </w:rPr>
      </w:pPr>
      <w:r w:rsidRPr="370ABA07">
        <w:rPr>
          <w:lang w:val="en-GB"/>
        </w:rPr>
        <w:t>[</w:t>
      </w:r>
      <w:r w:rsidRPr="370ABA07">
        <w:rPr>
          <w:i/>
          <w:iCs/>
          <w:lang w:val="en-GB"/>
        </w:rPr>
        <w:t>I</w:t>
      </w:r>
      <w:r w:rsidR="008A59B9" w:rsidRPr="370ABA07">
        <w:rPr>
          <w:i/>
          <w:iCs/>
          <w:lang w:val="en-GB"/>
        </w:rPr>
        <w:t>NS</w:t>
      </w:r>
      <w:r w:rsidRPr="370ABA07">
        <w:rPr>
          <w:i/>
          <w:iCs/>
          <w:lang w:val="en-GB"/>
        </w:rPr>
        <w:t>TITUTION OR ITS PART</w:t>
      </w:r>
      <w:r w:rsidRPr="370ABA07">
        <w:rPr>
          <w:lang w:val="en-GB"/>
        </w:rPr>
        <w:t>]</w:t>
      </w:r>
    </w:p>
    <w:p w14:paraId="71CD7E4C" w14:textId="06AB69AB" w:rsidR="004462F8" w:rsidRPr="00E47890" w:rsidRDefault="004462F8" w:rsidP="002A62D7">
      <w:pPr>
        <w:rPr>
          <w:rFonts w:ascii="Calibri" w:eastAsia="Calibri" w:hAnsi="Calibri" w:cs="Calibri"/>
          <w:lang w:val="en-GB"/>
        </w:rPr>
      </w:pPr>
      <w:r w:rsidRPr="370ABA07">
        <w:rPr>
          <w:rFonts w:ascii="Calibri" w:eastAsia="Calibri" w:hAnsi="Calibri" w:cs="Calibri"/>
          <w:lang w:val="en-GB"/>
        </w:rPr>
        <w:lastRenderedPageBreak/>
        <w:t xml:space="preserve">The internal regulation </w:t>
      </w:r>
      <w:r w:rsidR="00B6505C" w:rsidRPr="370ABA07">
        <w:rPr>
          <w:rFonts w:ascii="Calibri" w:eastAsia="Calibri" w:hAnsi="Calibri" w:cs="Calibri"/>
          <w:lang w:val="en-GB"/>
        </w:rPr>
        <w:t>must</w:t>
      </w:r>
      <w:r w:rsidRPr="370ABA07">
        <w:rPr>
          <w:rFonts w:ascii="Calibri" w:eastAsia="Calibri" w:hAnsi="Calibri" w:cs="Calibri"/>
          <w:lang w:val="en-GB"/>
        </w:rPr>
        <w:t xml:space="preserve"> be applied consistently by the whole institution or identified part of the institution (e.g., the faculty or department)</w:t>
      </w:r>
      <w:r w:rsidR="00F826D6">
        <w:rPr>
          <w:rFonts w:ascii="Calibri" w:eastAsia="Calibri" w:hAnsi="Calibri" w:cs="Calibri"/>
          <w:lang w:val="en-GB"/>
        </w:rPr>
        <w:t xml:space="preserve"> in line with the applicable legislation</w:t>
      </w:r>
      <w:r w:rsidR="00012D25" w:rsidRPr="370ABA07">
        <w:rPr>
          <w:rFonts w:ascii="Calibri" w:eastAsia="Calibri" w:hAnsi="Calibri" w:cs="Calibri"/>
          <w:lang w:val="en-GB"/>
        </w:rPr>
        <w:t xml:space="preserve">. </w:t>
      </w:r>
    </w:p>
    <w:p w14:paraId="60A2FADF" w14:textId="5E6AB837" w:rsidR="009C4F36" w:rsidRPr="00E47890" w:rsidRDefault="009C4F36" w:rsidP="002A62D7">
      <w:pPr>
        <w:rPr>
          <w:rFonts w:cstheme="minorHAnsi"/>
          <w:lang w:val="en-GB"/>
        </w:rPr>
      </w:pPr>
      <w:r w:rsidRPr="00E47890">
        <w:rPr>
          <w:rFonts w:cstheme="minorHAnsi"/>
          <w:lang w:val="en-GB"/>
        </w:rPr>
        <w:t>[</w:t>
      </w:r>
      <w:r w:rsidRPr="00E47890">
        <w:rPr>
          <w:rFonts w:cstheme="minorHAnsi"/>
          <w:i/>
          <w:iCs/>
          <w:lang w:val="en-GB"/>
        </w:rPr>
        <w:t>DATE</w:t>
      </w:r>
      <w:r w:rsidRPr="00E47890">
        <w:rPr>
          <w:rFonts w:cstheme="minorHAnsi"/>
          <w:lang w:val="en-GB"/>
        </w:rPr>
        <w:t>]</w:t>
      </w:r>
    </w:p>
    <w:p w14:paraId="51ABF06B" w14:textId="79017D04" w:rsidR="00F138A3" w:rsidRPr="00E47890" w:rsidRDefault="00F138A3" w:rsidP="002A62D7">
      <w:pPr>
        <w:rPr>
          <w:rFonts w:ascii="Calibri" w:eastAsia="Calibri" w:hAnsi="Calibri" w:cs="Calibri"/>
          <w:lang w:val="en-GB"/>
        </w:rPr>
      </w:pPr>
      <w:r w:rsidRPr="370ABA07">
        <w:rPr>
          <w:rFonts w:ascii="Calibri" w:eastAsia="Calibri" w:hAnsi="Calibri" w:cs="Calibri"/>
          <w:lang w:val="en-GB"/>
        </w:rPr>
        <w:t xml:space="preserve">The internal regulation applies either to all projects the institution began to implement after the effective days or </w:t>
      </w:r>
      <w:r w:rsidR="008A59B9" w:rsidRPr="370ABA07">
        <w:rPr>
          <w:rFonts w:ascii="Calibri" w:eastAsia="Calibri" w:hAnsi="Calibri" w:cs="Calibri"/>
          <w:lang w:val="en-GB"/>
        </w:rPr>
        <w:t xml:space="preserve">to </w:t>
      </w:r>
      <w:r w:rsidRPr="370ABA07">
        <w:rPr>
          <w:rFonts w:ascii="Calibri" w:eastAsia="Calibri" w:hAnsi="Calibri" w:cs="Calibri"/>
          <w:lang w:val="en-GB"/>
        </w:rPr>
        <w:t xml:space="preserve">all projects that the institution already </w:t>
      </w:r>
      <w:r w:rsidR="00423B79" w:rsidRPr="370ABA07">
        <w:rPr>
          <w:rFonts w:ascii="Calibri" w:eastAsia="Calibri" w:hAnsi="Calibri" w:cs="Calibri"/>
          <w:lang w:val="en-GB"/>
        </w:rPr>
        <w:t>implements</w:t>
      </w:r>
      <w:r w:rsidRPr="370ABA07">
        <w:rPr>
          <w:rFonts w:ascii="Calibri" w:eastAsia="Calibri" w:hAnsi="Calibri" w:cs="Calibri"/>
          <w:lang w:val="en-GB"/>
        </w:rPr>
        <w:t xml:space="preserve"> after the effective day</w:t>
      </w:r>
      <w:r w:rsidR="00423B79" w:rsidRPr="370ABA07">
        <w:rPr>
          <w:rFonts w:ascii="Calibri" w:eastAsia="Calibri" w:hAnsi="Calibri" w:cs="Calibri"/>
          <w:lang w:val="en-GB"/>
        </w:rPr>
        <w:t>,</w:t>
      </w:r>
      <w:r w:rsidRPr="370ABA07">
        <w:rPr>
          <w:rFonts w:ascii="Calibri" w:eastAsia="Calibri" w:hAnsi="Calibri" w:cs="Calibri"/>
          <w:lang w:val="en-GB"/>
        </w:rPr>
        <w:t xml:space="preserve"> depending on the </w:t>
      </w:r>
      <w:r w:rsidRPr="370ABA07">
        <w:rPr>
          <w:lang w:val="en-GB"/>
        </w:rPr>
        <w:t>institution's decision</w:t>
      </w:r>
      <w:r w:rsidR="00F826D6">
        <w:rPr>
          <w:lang w:val="en-GB"/>
        </w:rPr>
        <w:t xml:space="preserve"> and </w:t>
      </w:r>
      <w:r w:rsidR="00F826D6">
        <w:rPr>
          <w:rFonts w:ascii="Calibri" w:eastAsia="Calibri" w:hAnsi="Calibri" w:cs="Calibri"/>
          <w:lang w:val="en-GB"/>
        </w:rPr>
        <w:t>in line with the applicable legislation</w:t>
      </w:r>
      <w:r w:rsidRPr="370ABA07">
        <w:rPr>
          <w:lang w:val="en-GB"/>
        </w:rPr>
        <w:t>.</w:t>
      </w:r>
      <w:r w:rsidR="00F826D6">
        <w:rPr>
          <w:lang w:val="en-GB"/>
        </w:rPr>
        <w:t xml:space="preserve"> </w:t>
      </w:r>
    </w:p>
    <w:p w14:paraId="6F9FD093" w14:textId="58F532D5" w:rsidR="00B6505C" w:rsidRPr="00E47890" w:rsidRDefault="00B6505C" w:rsidP="002A62D7">
      <w:pPr>
        <w:rPr>
          <w:rFonts w:ascii="Calibri" w:eastAsia="Calibri" w:hAnsi="Calibri" w:cs="Calibri"/>
          <w:lang w:val="en-GB"/>
        </w:rPr>
      </w:pPr>
      <w:r w:rsidRPr="00E47890">
        <w:rPr>
          <w:rFonts w:cstheme="minorHAnsi"/>
          <w:lang w:val="en-GB"/>
        </w:rPr>
        <w:t>[</w:t>
      </w:r>
      <w:r w:rsidRPr="00E47890">
        <w:rPr>
          <w:i/>
          <w:iCs/>
          <w:lang w:val="en-GB"/>
        </w:rPr>
        <w:t>TYPE OF PROJECT</w:t>
      </w:r>
      <w:r w:rsidRPr="00E47890">
        <w:rPr>
          <w:rFonts w:cstheme="minorHAnsi"/>
          <w:lang w:val="en-GB"/>
        </w:rPr>
        <w:t>]</w:t>
      </w:r>
    </w:p>
    <w:p w14:paraId="555A1DDE" w14:textId="3F45A49A" w:rsidR="00B6505C" w:rsidRPr="00E47890" w:rsidRDefault="00B6505C" w:rsidP="002A62D7">
      <w:pPr>
        <w:rPr>
          <w:lang w:val="en-GB"/>
        </w:rPr>
      </w:pPr>
      <w:r w:rsidRPr="6B0EB852">
        <w:rPr>
          <w:rFonts w:ascii="Calibri" w:eastAsia="Calibri" w:hAnsi="Calibri" w:cs="Calibri"/>
          <w:lang w:val="en-GB"/>
        </w:rPr>
        <w:t xml:space="preserve">The internal regulation must identify the relevant scope of </w:t>
      </w:r>
      <w:r w:rsidR="008A59B9" w:rsidRPr="6B0EB852">
        <w:rPr>
          <w:rFonts w:ascii="Calibri" w:eastAsia="Calibri" w:hAnsi="Calibri" w:cs="Calibri"/>
          <w:lang w:val="en-GB"/>
        </w:rPr>
        <w:t xml:space="preserve">the </w:t>
      </w:r>
      <w:r w:rsidRPr="6B0EB852">
        <w:rPr>
          <w:rFonts w:ascii="Calibri" w:eastAsia="Calibri" w:hAnsi="Calibri" w:cs="Calibri"/>
          <w:lang w:val="en-GB"/>
        </w:rPr>
        <w:t xml:space="preserve">project (e.g., </w:t>
      </w:r>
      <w:r w:rsidRPr="6B0EB852">
        <w:rPr>
          <w:lang w:val="en-GB"/>
        </w:rPr>
        <w:t xml:space="preserve">research and innovation projects, projects supporting research and innovation activities, </w:t>
      </w:r>
      <w:r w:rsidR="00310F4F" w:rsidRPr="6B0EB852">
        <w:rPr>
          <w:lang w:val="en-GB"/>
        </w:rPr>
        <w:t xml:space="preserve">educational </w:t>
      </w:r>
      <w:r w:rsidR="003E1768" w:rsidRPr="6B0EB852">
        <w:rPr>
          <w:lang w:val="en-GB"/>
        </w:rPr>
        <w:t>projects,</w:t>
      </w:r>
      <w:r w:rsidR="009C4F36" w:rsidRPr="6B0EB852">
        <w:rPr>
          <w:lang w:val="en-GB"/>
        </w:rPr>
        <w:t xml:space="preserve"> and</w:t>
      </w:r>
      <w:r w:rsidR="00310F4F" w:rsidRPr="6B0EB852">
        <w:rPr>
          <w:lang w:val="en-GB"/>
        </w:rPr>
        <w:t xml:space="preserve"> other</w:t>
      </w:r>
      <w:r w:rsidR="009C4F36" w:rsidRPr="6B0EB852">
        <w:rPr>
          <w:lang w:val="en-GB"/>
        </w:rPr>
        <w:t>s</w:t>
      </w:r>
      <w:r w:rsidR="00310F4F" w:rsidRPr="6B0EB852">
        <w:rPr>
          <w:lang w:val="en-GB"/>
        </w:rPr>
        <w:t xml:space="preserve">). Furthermore, more detailed identification of the project can be used, too (e.g., </w:t>
      </w:r>
      <w:r w:rsidR="00310F4F" w:rsidRPr="6B0EB852">
        <w:rPr>
          <w:rFonts w:ascii="Calibri" w:eastAsia="Calibri" w:hAnsi="Calibri" w:cs="Calibri"/>
          <w:lang w:val="en-GB"/>
        </w:rPr>
        <w:t xml:space="preserve">research and innovation projects with </w:t>
      </w:r>
      <w:r w:rsidR="008A59B9" w:rsidRPr="6B0EB852">
        <w:rPr>
          <w:rFonts w:ascii="Calibri" w:eastAsia="Calibri" w:hAnsi="Calibri" w:cs="Calibri"/>
          <w:lang w:val="en-GB"/>
        </w:rPr>
        <w:t xml:space="preserve">an </w:t>
      </w:r>
      <w:r w:rsidR="00310F4F" w:rsidRPr="6B0EB852">
        <w:rPr>
          <w:rFonts w:ascii="Calibri" w:eastAsia="Calibri" w:hAnsi="Calibri" w:cs="Calibri"/>
          <w:lang w:val="en-GB"/>
        </w:rPr>
        <w:t xml:space="preserve">international dimension). </w:t>
      </w:r>
      <w:r w:rsidR="00310F4F" w:rsidRPr="6B0EB852">
        <w:rPr>
          <w:lang w:val="en-GB"/>
        </w:rPr>
        <w:t xml:space="preserve">The regulation can be applied only </w:t>
      </w:r>
      <w:r w:rsidR="008A59B9" w:rsidRPr="6B0EB852">
        <w:rPr>
          <w:lang w:val="en-GB"/>
        </w:rPr>
        <w:t xml:space="preserve">to </w:t>
      </w:r>
      <w:r w:rsidR="00310F4F" w:rsidRPr="6B0EB852">
        <w:rPr>
          <w:lang w:val="en-GB"/>
        </w:rPr>
        <w:t xml:space="preserve">one type or more, depending on the </w:t>
      </w:r>
      <w:r w:rsidR="002F1957" w:rsidRPr="6B0EB852">
        <w:rPr>
          <w:lang w:val="en-GB"/>
        </w:rPr>
        <w:t>institution's decision</w:t>
      </w:r>
      <w:r w:rsidR="00310F4F" w:rsidRPr="6B0EB852">
        <w:rPr>
          <w:lang w:val="en-GB"/>
        </w:rPr>
        <w:t>.</w:t>
      </w:r>
    </w:p>
    <w:p w14:paraId="597759D5" w14:textId="5FE9498B" w:rsidR="00C5787A" w:rsidRPr="00E47890" w:rsidRDefault="00C5787A" w:rsidP="002A62D7">
      <w:pPr>
        <w:rPr>
          <w:lang w:val="en-GB"/>
        </w:rPr>
      </w:pPr>
      <w:r w:rsidRPr="00E47890">
        <w:rPr>
          <w:rFonts w:cstheme="minorHAnsi"/>
          <w:lang w:val="en-GB"/>
        </w:rPr>
        <w:t>[</w:t>
      </w:r>
      <w:r w:rsidRPr="00E47890">
        <w:rPr>
          <w:i/>
          <w:iCs/>
          <w:lang w:val="en-GB"/>
        </w:rPr>
        <w:t>FUNDING SCHEME</w:t>
      </w:r>
      <w:r w:rsidRPr="00E47890">
        <w:rPr>
          <w:rFonts w:cstheme="minorHAnsi"/>
          <w:lang w:val="en-GB"/>
        </w:rPr>
        <w:t xml:space="preserve">] </w:t>
      </w:r>
      <w:r w:rsidRPr="00E47890">
        <w:rPr>
          <w:lang w:val="en-GB"/>
        </w:rPr>
        <w:t xml:space="preserve"> </w:t>
      </w:r>
    </w:p>
    <w:p w14:paraId="1E46A9F9" w14:textId="79D471FE" w:rsidR="008A59B9" w:rsidRDefault="003E1768" w:rsidP="0005458A">
      <w:pPr>
        <w:rPr>
          <w:lang w:val="en-GB"/>
        </w:rPr>
      </w:pPr>
      <w:r w:rsidRPr="370ABA07">
        <w:rPr>
          <w:lang w:val="en-GB"/>
        </w:rPr>
        <w:t xml:space="preserve">The internal regulation </w:t>
      </w:r>
      <w:r w:rsidR="005E3628">
        <w:rPr>
          <w:lang w:val="en-GB"/>
        </w:rPr>
        <w:t xml:space="preserve">must </w:t>
      </w:r>
      <w:r w:rsidRPr="370ABA07">
        <w:rPr>
          <w:lang w:val="en-GB"/>
        </w:rPr>
        <w:t>identify the relevant pool of funding schemes</w:t>
      </w:r>
      <w:r w:rsidR="008339E5">
        <w:rPr>
          <w:lang w:val="en-GB"/>
        </w:rPr>
        <w:t xml:space="preserve">, </w:t>
      </w:r>
      <w:r w:rsidRPr="370ABA07">
        <w:rPr>
          <w:lang w:val="en-GB"/>
        </w:rPr>
        <w:t>i.e., external funding sources from national and foreign sources.</w:t>
      </w:r>
      <w:r w:rsidR="43A47D5B" w:rsidRPr="370ABA07">
        <w:rPr>
          <w:lang w:val="en-GB"/>
        </w:rPr>
        <w:t xml:space="preserve"> </w:t>
      </w:r>
      <w:r w:rsidR="008A59B9" w:rsidRPr="370ABA07">
        <w:rPr>
          <w:lang w:val="en-GB"/>
        </w:rPr>
        <w:t>The internal regulation needs to be used with respect to the rules and specifics of individual funding schemes and projects.</w:t>
      </w:r>
      <w:r w:rsidR="00F63CA0">
        <w:rPr>
          <w:lang w:val="en-GB"/>
        </w:rPr>
        <w:t xml:space="preserve"> T</w:t>
      </w:r>
      <w:r w:rsidR="00F63CA0" w:rsidRPr="008339E5">
        <w:rPr>
          <w:lang w:val="en-GB"/>
        </w:rPr>
        <w:t>he lis</w:t>
      </w:r>
      <w:r w:rsidR="00F63CA0">
        <w:rPr>
          <w:lang w:val="en-GB"/>
        </w:rPr>
        <w:t xml:space="preserve">t must include specific existing funding schemes </w:t>
      </w:r>
      <w:r w:rsidR="00323015">
        <w:rPr>
          <w:lang w:val="en-GB"/>
        </w:rPr>
        <w:t>and</w:t>
      </w:r>
      <w:r w:rsidR="00F63CA0">
        <w:rPr>
          <w:lang w:val="en-GB"/>
        </w:rPr>
        <w:t xml:space="preserve"> </w:t>
      </w:r>
      <w:r w:rsidR="00657177">
        <w:rPr>
          <w:lang w:val="en-GB"/>
        </w:rPr>
        <w:t xml:space="preserve">a </w:t>
      </w:r>
      <w:r w:rsidR="00F63CA0">
        <w:rPr>
          <w:lang w:val="en-GB"/>
        </w:rPr>
        <w:t>general description of other possible funding schemes meeting the same requested criteria</w:t>
      </w:r>
      <w:r w:rsidR="00D40EFD">
        <w:rPr>
          <w:lang w:val="en-GB"/>
        </w:rPr>
        <w:t>.</w:t>
      </w:r>
    </w:p>
    <w:p w14:paraId="68715737" w14:textId="72A2CA85" w:rsidR="008A59B9" w:rsidRPr="008A59B9" w:rsidRDefault="008A59B9" w:rsidP="370ABA07">
      <w:pPr>
        <w:rPr>
          <w:b/>
          <w:bCs/>
          <w:i/>
          <w:iCs/>
          <w:lang w:val="en-GB"/>
        </w:rPr>
      </w:pPr>
      <w:r w:rsidRPr="370ABA07">
        <w:rPr>
          <w:b/>
          <w:bCs/>
          <w:i/>
          <w:iCs/>
          <w:lang w:val="en-GB"/>
        </w:rPr>
        <w:t>Horizon Europe:  specifics</w:t>
      </w:r>
    </w:p>
    <w:p w14:paraId="5C8B5AED" w14:textId="4C94EC49" w:rsidR="009F37C8" w:rsidRPr="008A59B9" w:rsidRDefault="2B7DAD51" w:rsidP="1884EB9B">
      <w:pPr>
        <w:rPr>
          <w:i/>
          <w:iCs/>
          <w:lang w:val="en-GB"/>
        </w:rPr>
      </w:pPr>
      <w:r w:rsidRPr="1884EB9B">
        <w:rPr>
          <w:i/>
          <w:iCs/>
          <w:lang w:val="en-GB"/>
        </w:rPr>
        <w:t xml:space="preserve">To be used in </w:t>
      </w:r>
      <w:r w:rsidR="047BC473" w:rsidRPr="1884EB9B">
        <w:rPr>
          <w:i/>
          <w:iCs/>
          <w:lang w:val="en-GB"/>
        </w:rPr>
        <w:t>the</w:t>
      </w:r>
      <w:r w:rsidR="36206EC1" w:rsidRPr="1884EB9B">
        <w:rPr>
          <w:i/>
          <w:iCs/>
          <w:lang w:val="en-GB"/>
        </w:rPr>
        <w:t xml:space="preserve"> </w:t>
      </w:r>
      <w:r w:rsidRPr="1884EB9B">
        <w:rPr>
          <w:i/>
          <w:iCs/>
          <w:lang w:val="en-GB"/>
        </w:rPr>
        <w:t>Horizon Europe</w:t>
      </w:r>
      <w:r w:rsidR="047BC473" w:rsidRPr="1884EB9B">
        <w:rPr>
          <w:i/>
          <w:iCs/>
          <w:lang w:val="en-GB"/>
        </w:rPr>
        <w:t xml:space="preserve"> programme</w:t>
      </w:r>
      <w:r w:rsidRPr="1884EB9B">
        <w:rPr>
          <w:i/>
          <w:iCs/>
          <w:lang w:val="en-GB"/>
        </w:rPr>
        <w:t xml:space="preserve">, the relevant funding scheme can be an EU </w:t>
      </w:r>
      <w:r w:rsidR="047BC473" w:rsidRPr="1884EB9B">
        <w:rPr>
          <w:i/>
          <w:iCs/>
          <w:lang w:val="en-GB"/>
        </w:rPr>
        <w:t>scheme</w:t>
      </w:r>
      <w:r w:rsidR="6182DA9B" w:rsidRPr="1884EB9B">
        <w:rPr>
          <w:i/>
          <w:iCs/>
          <w:lang w:val="en-GB"/>
        </w:rPr>
        <w:t xml:space="preserve"> </w:t>
      </w:r>
      <w:r w:rsidRPr="1884EB9B">
        <w:rPr>
          <w:i/>
          <w:iCs/>
          <w:lang w:val="en-GB"/>
        </w:rPr>
        <w:t xml:space="preserve">(or inter-national one) </w:t>
      </w:r>
      <w:r w:rsidR="047BC473" w:rsidRPr="1884EB9B">
        <w:rPr>
          <w:i/>
          <w:iCs/>
          <w:u w:val="single"/>
          <w:lang w:val="en-GB"/>
        </w:rPr>
        <w:t xml:space="preserve">AND </w:t>
      </w:r>
      <w:r w:rsidR="2F74758A" w:rsidRPr="1884EB9B">
        <w:rPr>
          <w:i/>
          <w:iCs/>
          <w:lang w:val="en-GB"/>
        </w:rPr>
        <w:t>at least one</w:t>
      </w:r>
      <w:r w:rsidRPr="1884EB9B">
        <w:rPr>
          <w:i/>
          <w:iCs/>
          <w:lang w:val="en-GB"/>
        </w:rPr>
        <w:t xml:space="preserve"> national</w:t>
      </w:r>
      <w:r w:rsidR="047BC473" w:rsidRPr="1884EB9B">
        <w:rPr>
          <w:i/>
          <w:iCs/>
          <w:lang w:val="en-GB"/>
        </w:rPr>
        <w:t xml:space="preserve"> scheme</w:t>
      </w:r>
      <w:r w:rsidRPr="1884EB9B">
        <w:rPr>
          <w:i/>
          <w:iCs/>
          <w:lang w:val="en-GB"/>
        </w:rPr>
        <w:t xml:space="preserve"> that is closest to Horizon Europe</w:t>
      </w:r>
      <w:r w:rsidR="047BC473" w:rsidRPr="1884EB9B">
        <w:rPr>
          <w:i/>
          <w:iCs/>
          <w:lang w:val="en-GB"/>
        </w:rPr>
        <w:t xml:space="preserve"> by its nature</w:t>
      </w:r>
      <w:r w:rsidRPr="1884EB9B">
        <w:rPr>
          <w:i/>
          <w:iCs/>
          <w:lang w:val="en-GB"/>
        </w:rPr>
        <w:t xml:space="preserve">. </w:t>
      </w:r>
      <w:r w:rsidR="2F74758A" w:rsidRPr="1884EB9B">
        <w:rPr>
          <w:i/>
          <w:iCs/>
          <w:lang w:val="en-GB"/>
        </w:rPr>
        <w:t xml:space="preserve">For this purpose, </w:t>
      </w:r>
      <w:r w:rsidR="047BC473" w:rsidRPr="1884EB9B">
        <w:rPr>
          <w:i/>
          <w:iCs/>
          <w:lang w:val="en-GB"/>
        </w:rPr>
        <w:t xml:space="preserve">the </w:t>
      </w:r>
      <w:r w:rsidR="2F74758A" w:rsidRPr="1884EB9B">
        <w:rPr>
          <w:i/>
          <w:iCs/>
          <w:lang w:val="en-GB"/>
        </w:rPr>
        <w:t xml:space="preserve">national scheme is understood in </w:t>
      </w:r>
      <w:r w:rsidR="047BC473" w:rsidRPr="1884EB9B">
        <w:rPr>
          <w:i/>
          <w:iCs/>
          <w:lang w:val="en-GB"/>
        </w:rPr>
        <w:t xml:space="preserve">a broad </w:t>
      </w:r>
      <w:r w:rsidR="2F74758A" w:rsidRPr="1884EB9B">
        <w:rPr>
          <w:i/>
          <w:iCs/>
          <w:lang w:val="en-GB"/>
        </w:rPr>
        <w:t xml:space="preserve">sense, meaning all types of projects funded under any national (public or private) funding scheme, including projects co-financed by EU funds managed by the Member States. </w:t>
      </w:r>
    </w:p>
    <w:p w14:paraId="42729174" w14:textId="4BC62496" w:rsidR="009F37C8" w:rsidRPr="008A59B9" w:rsidRDefault="2F74758A" w:rsidP="1884EB9B">
      <w:pPr>
        <w:rPr>
          <w:rFonts w:ascii="Calibri" w:eastAsia="Calibri" w:hAnsi="Calibri" w:cs="Calibri"/>
          <w:i/>
          <w:iCs/>
          <w:lang w:val="en-GB"/>
        </w:rPr>
      </w:pPr>
      <w:r w:rsidRPr="1884EB9B">
        <w:rPr>
          <w:rFonts w:ascii="Calibri" w:eastAsia="Calibri" w:hAnsi="Calibri" w:cs="Calibri"/>
          <w:i/>
          <w:iCs/>
          <w:lang w:val="en-GB"/>
        </w:rPr>
        <w:t>The broader the pool of relevant national schemes</w:t>
      </w:r>
      <w:r w:rsidR="047BC473" w:rsidRPr="1884EB9B">
        <w:rPr>
          <w:rFonts w:ascii="Calibri" w:eastAsia="Calibri" w:hAnsi="Calibri" w:cs="Calibri"/>
          <w:i/>
          <w:iCs/>
          <w:lang w:val="en-GB"/>
        </w:rPr>
        <w:t>,</w:t>
      </w:r>
      <w:r w:rsidRPr="1884EB9B">
        <w:rPr>
          <w:rFonts w:ascii="Calibri" w:eastAsia="Calibri" w:hAnsi="Calibri" w:cs="Calibri"/>
          <w:i/>
          <w:iCs/>
          <w:lang w:val="en-GB"/>
        </w:rPr>
        <w:t xml:space="preserve"> the better. </w:t>
      </w:r>
      <w:r w:rsidR="7CBF84B3" w:rsidRPr="1884EB9B">
        <w:rPr>
          <w:rFonts w:ascii="Calibri" w:eastAsia="Calibri" w:hAnsi="Calibri" w:cs="Calibri"/>
          <w:i/>
          <w:iCs/>
          <w:lang w:val="en-GB"/>
        </w:rPr>
        <w:t>The broader</w:t>
      </w:r>
      <w:r w:rsidR="7CBF84B3" w:rsidRPr="1884EB9B">
        <w:rPr>
          <w:rFonts w:ascii="Calibri" w:eastAsia="Calibri" w:hAnsi="Calibri" w:cs="Calibri"/>
          <w:lang w:val="en-GB"/>
        </w:rPr>
        <w:t xml:space="preserve"> </w:t>
      </w:r>
      <w:r w:rsidR="7CBF84B3" w:rsidRPr="1884EB9B">
        <w:rPr>
          <w:rFonts w:ascii="Calibri" w:eastAsia="Calibri" w:hAnsi="Calibri" w:cs="Calibri"/>
          <w:i/>
          <w:iCs/>
          <w:lang w:val="en-GB"/>
        </w:rPr>
        <w:t>the pool of relevant foreign schemes</w:t>
      </w:r>
      <w:r w:rsidR="047BC473" w:rsidRPr="1884EB9B">
        <w:rPr>
          <w:rFonts w:ascii="Calibri" w:eastAsia="Calibri" w:hAnsi="Calibri" w:cs="Calibri"/>
          <w:i/>
          <w:iCs/>
          <w:lang w:val="en-GB"/>
        </w:rPr>
        <w:t>,</w:t>
      </w:r>
      <w:r w:rsidR="7CBF84B3" w:rsidRPr="1884EB9B">
        <w:rPr>
          <w:rFonts w:ascii="Calibri" w:eastAsia="Calibri" w:hAnsi="Calibri" w:cs="Calibri"/>
          <w:i/>
          <w:iCs/>
          <w:lang w:val="en-GB"/>
        </w:rPr>
        <w:t xml:space="preserve"> the better. At the same time, however, </w:t>
      </w:r>
      <w:r w:rsidR="7CBF84B3" w:rsidRPr="1884EB9B">
        <w:rPr>
          <w:i/>
          <w:iCs/>
          <w:lang w:val="en-GB"/>
        </w:rPr>
        <w:t xml:space="preserve">specific types of projects and funding schemes in which the </w:t>
      </w:r>
      <w:r w:rsidR="047BC473" w:rsidRPr="1884EB9B">
        <w:rPr>
          <w:i/>
          <w:iCs/>
          <w:lang w:val="en-GB"/>
        </w:rPr>
        <w:t>funding body specifies the level of the remuneration/supplementary payment</w:t>
      </w:r>
      <w:r w:rsidR="7CBF84B3" w:rsidRPr="1884EB9B">
        <w:rPr>
          <w:i/>
          <w:iCs/>
          <w:lang w:val="en-GB"/>
        </w:rPr>
        <w:t xml:space="preserve"> are not included (e.g., MSCA actions, which apply unit cost </w:t>
      </w:r>
      <w:r w:rsidR="047BC473" w:rsidRPr="1884EB9B">
        <w:rPr>
          <w:i/>
          <w:iCs/>
          <w:lang w:val="en-GB"/>
        </w:rPr>
        <w:t xml:space="preserve">determined </w:t>
      </w:r>
      <w:r w:rsidR="7CBF84B3" w:rsidRPr="1884EB9B">
        <w:rPr>
          <w:i/>
          <w:iCs/>
          <w:lang w:val="en-GB"/>
        </w:rPr>
        <w:t xml:space="preserve">by the European Commission, or some projects financed by national funding agencies, in which the level of remuneration/ supplementary payment is already </w:t>
      </w:r>
      <w:r w:rsidR="047BC473" w:rsidRPr="1884EB9B">
        <w:rPr>
          <w:i/>
          <w:iCs/>
          <w:lang w:val="en-GB"/>
        </w:rPr>
        <w:t>established</w:t>
      </w:r>
      <w:r w:rsidR="7CBF84B3" w:rsidRPr="1884EB9B">
        <w:rPr>
          <w:i/>
          <w:iCs/>
          <w:lang w:val="en-GB"/>
        </w:rPr>
        <w:t xml:space="preserve">). </w:t>
      </w:r>
      <w:r w:rsidR="047BC473" w:rsidRPr="1884EB9B">
        <w:rPr>
          <w:i/>
          <w:iCs/>
          <w:lang w:val="en-GB"/>
        </w:rPr>
        <w:t xml:space="preserve">In addition, funding </w:t>
      </w:r>
      <w:r w:rsidR="7CBF84B3" w:rsidRPr="1884EB9B">
        <w:rPr>
          <w:i/>
          <w:iCs/>
          <w:lang w:val="en-GB"/>
        </w:rPr>
        <w:t xml:space="preserve">schemes that do not allow the payment of supplementary payments </w:t>
      </w:r>
      <w:r w:rsidR="03A454D4" w:rsidRPr="1884EB9B">
        <w:rPr>
          <w:i/>
          <w:iCs/>
          <w:lang w:val="en-GB"/>
        </w:rPr>
        <w:t>are also not included (unless the institution chooses to pay such supplementary payments from its own/other sources)</w:t>
      </w:r>
      <w:r w:rsidR="7CBF84B3" w:rsidRPr="1884EB9B">
        <w:rPr>
          <w:i/>
          <w:iCs/>
          <w:lang w:val="en-GB"/>
        </w:rPr>
        <w:t>.</w:t>
      </w:r>
      <w:r w:rsidR="69C96277" w:rsidRPr="1884EB9B">
        <w:rPr>
          <w:i/>
          <w:iCs/>
          <w:lang w:val="en-GB"/>
        </w:rPr>
        <w:t xml:space="preserve"> </w:t>
      </w:r>
    </w:p>
    <w:p w14:paraId="6FC7888A" w14:textId="6146A62A" w:rsidR="009F37C8" w:rsidRDefault="009B74B3" w:rsidP="370ABA07">
      <w:pPr>
        <w:rPr>
          <w:rFonts w:ascii="Calibri" w:eastAsia="Calibri" w:hAnsi="Calibri" w:cs="Calibri"/>
          <w:i/>
          <w:iCs/>
          <w:lang w:val="en-GB"/>
        </w:rPr>
      </w:pPr>
      <w:r w:rsidRPr="370ABA07">
        <w:rPr>
          <w:rFonts w:ascii="Calibri" w:eastAsia="Calibri" w:hAnsi="Calibri" w:cs="Calibri"/>
          <w:i/>
          <w:iCs/>
          <w:lang w:val="en-GB"/>
        </w:rPr>
        <w:t xml:space="preserve">The choice of relevant funding schemes does not depend on </w:t>
      </w:r>
      <w:proofErr w:type="gramStart"/>
      <w:r w:rsidRPr="370ABA07">
        <w:rPr>
          <w:rFonts w:ascii="Calibri" w:eastAsia="Calibri" w:hAnsi="Calibri" w:cs="Calibri"/>
          <w:i/>
          <w:iCs/>
          <w:lang w:val="en-GB"/>
        </w:rPr>
        <w:t>whether or not</w:t>
      </w:r>
      <w:proofErr w:type="gramEnd"/>
      <w:r w:rsidRPr="370ABA07">
        <w:rPr>
          <w:rFonts w:ascii="Calibri" w:eastAsia="Calibri" w:hAnsi="Calibri" w:cs="Calibri"/>
          <w:i/>
          <w:iCs/>
          <w:lang w:val="en-GB"/>
        </w:rPr>
        <w:t xml:space="preserve"> the institution has already implemented a project under the scheme. What is important is that it is an existing scheme relevant in content to the institution.</w:t>
      </w:r>
    </w:p>
    <w:p w14:paraId="6E618873" w14:textId="6067C296" w:rsidR="008A59B9" w:rsidRPr="008A59B9" w:rsidRDefault="008A59B9" w:rsidP="370ABA07">
      <w:pPr>
        <w:rPr>
          <w:rFonts w:ascii="Calibri" w:eastAsia="Calibri" w:hAnsi="Calibri" w:cs="Calibri"/>
          <w:b/>
          <w:bCs/>
          <w:i/>
          <w:iCs/>
          <w:lang w:val="en-GB"/>
        </w:rPr>
      </w:pPr>
      <w:r w:rsidRPr="370ABA07">
        <w:rPr>
          <w:rFonts w:ascii="Calibri" w:eastAsia="Calibri" w:hAnsi="Calibri" w:cs="Calibri"/>
          <w:b/>
          <w:bCs/>
          <w:i/>
          <w:iCs/>
          <w:lang w:val="en-GB"/>
        </w:rPr>
        <w:t>Horizon 2020: specifics</w:t>
      </w:r>
    </w:p>
    <w:p w14:paraId="3EB36242" w14:textId="77777777" w:rsidR="0079172E" w:rsidRDefault="56603C59" w:rsidP="0005458A">
      <w:pPr>
        <w:rPr>
          <w:rFonts w:ascii="Calibri" w:eastAsia="Calibri" w:hAnsi="Calibri" w:cs="Calibri"/>
          <w:i/>
          <w:iCs/>
          <w:lang w:val="en-GB"/>
        </w:rPr>
      </w:pPr>
      <w:r w:rsidRPr="370ABA07">
        <w:rPr>
          <w:i/>
          <w:iCs/>
          <w:lang w:val="en-GB"/>
        </w:rPr>
        <w:t xml:space="preserve">In case </w:t>
      </w:r>
      <w:r w:rsidR="008A59B9" w:rsidRPr="370ABA07">
        <w:rPr>
          <w:i/>
          <w:iCs/>
          <w:lang w:val="en-GB"/>
        </w:rPr>
        <w:t xml:space="preserve">the </w:t>
      </w:r>
      <w:r w:rsidRPr="370ABA07">
        <w:rPr>
          <w:i/>
          <w:iCs/>
          <w:lang w:val="en-GB"/>
        </w:rPr>
        <w:t>H2020</w:t>
      </w:r>
      <w:r w:rsidR="008A59B9" w:rsidRPr="370ABA07">
        <w:rPr>
          <w:i/>
          <w:iCs/>
          <w:lang w:val="en-GB"/>
        </w:rPr>
        <w:t xml:space="preserve"> programme</w:t>
      </w:r>
      <w:r w:rsidRPr="370ABA07">
        <w:rPr>
          <w:i/>
          <w:iCs/>
          <w:lang w:val="en-GB"/>
        </w:rPr>
        <w:t xml:space="preserve"> is included in the pool, it is essential to bear in mind that project-based supplementary payments can be eligible in H2020 only</w:t>
      </w:r>
      <w:r w:rsidRPr="370ABA07">
        <w:rPr>
          <w:rFonts w:ascii="Calibri" w:eastAsia="Calibri" w:hAnsi="Calibri" w:cs="Calibri"/>
          <w:i/>
          <w:iCs/>
          <w:lang w:val="en-GB"/>
        </w:rPr>
        <w:t xml:space="preserve"> if those amounts were actually paid at least once before </w:t>
      </w:r>
      <w:r w:rsidR="008A59B9" w:rsidRPr="370ABA07">
        <w:rPr>
          <w:rFonts w:ascii="Calibri" w:eastAsia="Calibri" w:hAnsi="Calibri" w:cs="Calibri"/>
          <w:i/>
          <w:iCs/>
          <w:lang w:val="en-GB"/>
        </w:rPr>
        <w:t>submitting</w:t>
      </w:r>
      <w:r w:rsidRPr="370ABA07">
        <w:rPr>
          <w:rFonts w:ascii="Calibri" w:eastAsia="Calibri" w:hAnsi="Calibri" w:cs="Calibri"/>
          <w:i/>
          <w:iCs/>
          <w:lang w:val="en-GB"/>
        </w:rPr>
        <w:t xml:space="preserve"> the H2020 proposal for work in a national project.</w:t>
      </w:r>
    </w:p>
    <w:p w14:paraId="7AB82976" w14:textId="3067E470" w:rsidR="00012D25" w:rsidRPr="00E47890" w:rsidRDefault="00012D25" w:rsidP="0005458A">
      <w:pPr>
        <w:rPr>
          <w:rFonts w:cstheme="minorHAnsi"/>
          <w:lang w:val="en-GB"/>
        </w:rPr>
      </w:pPr>
      <w:r w:rsidRPr="00E47890">
        <w:rPr>
          <w:rFonts w:cstheme="minorHAnsi"/>
          <w:lang w:val="en-GB"/>
        </w:rPr>
        <w:t>[</w:t>
      </w:r>
      <w:r w:rsidRPr="00E47890">
        <w:rPr>
          <w:i/>
          <w:iCs/>
          <w:lang w:val="en-GB"/>
        </w:rPr>
        <w:t>STAFF</w:t>
      </w:r>
      <w:r w:rsidRPr="00E47890">
        <w:rPr>
          <w:rFonts w:cstheme="minorHAnsi"/>
          <w:lang w:val="en-GB"/>
        </w:rPr>
        <w:t>]</w:t>
      </w:r>
    </w:p>
    <w:p w14:paraId="226A4472" w14:textId="36855CAD" w:rsidR="00012D25" w:rsidRDefault="00012D25" w:rsidP="00012D25">
      <w:pPr>
        <w:rPr>
          <w:lang w:val="en-GB"/>
        </w:rPr>
      </w:pPr>
      <w:r w:rsidRPr="370ABA07">
        <w:rPr>
          <w:rFonts w:ascii="Calibri" w:eastAsia="Calibri" w:hAnsi="Calibri" w:cs="Calibri"/>
          <w:lang w:val="en-GB"/>
        </w:rPr>
        <w:t xml:space="preserve">The internal regulation applies to all employees or only identified </w:t>
      </w:r>
      <w:r w:rsidRPr="370ABA07">
        <w:rPr>
          <w:lang w:val="en-GB"/>
        </w:rPr>
        <w:t>staff categor</w:t>
      </w:r>
      <w:r w:rsidR="008C7DF1" w:rsidRPr="370ABA07">
        <w:rPr>
          <w:lang w:val="en-GB"/>
        </w:rPr>
        <w:t>ies</w:t>
      </w:r>
      <w:r w:rsidRPr="370ABA07">
        <w:rPr>
          <w:lang w:val="en-GB"/>
        </w:rPr>
        <w:t>, depending on the institution's decision.</w:t>
      </w:r>
    </w:p>
    <w:p w14:paraId="74AF8A68" w14:textId="19006D46" w:rsidR="009B74B3" w:rsidRPr="00E47890" w:rsidRDefault="009B74B3" w:rsidP="002A62D7">
      <w:pPr>
        <w:rPr>
          <w:rFonts w:cstheme="minorHAnsi"/>
          <w:lang w:val="en-GB"/>
        </w:rPr>
      </w:pPr>
      <w:r w:rsidRPr="00E47890">
        <w:rPr>
          <w:rFonts w:cstheme="minorHAnsi"/>
          <w:lang w:val="en-GB"/>
        </w:rPr>
        <w:lastRenderedPageBreak/>
        <w:t>[</w:t>
      </w:r>
      <w:r w:rsidR="00495162" w:rsidRPr="00E47890">
        <w:rPr>
          <w:rFonts w:cstheme="minorHAnsi"/>
          <w:i/>
          <w:iCs/>
          <w:lang w:val="en-GB"/>
        </w:rPr>
        <w:t>FORM OF THE</w:t>
      </w:r>
      <w:r w:rsidR="00495162" w:rsidRPr="00E47890">
        <w:rPr>
          <w:rFonts w:cstheme="minorHAnsi"/>
          <w:lang w:val="en-GB"/>
        </w:rPr>
        <w:t xml:space="preserve"> </w:t>
      </w:r>
      <w:r w:rsidRPr="00E47890">
        <w:rPr>
          <w:i/>
          <w:iCs/>
          <w:lang w:val="en-GB"/>
        </w:rPr>
        <w:t>AMOUNT</w:t>
      </w:r>
      <w:r w:rsidRPr="00E47890">
        <w:rPr>
          <w:rFonts w:cstheme="minorHAnsi"/>
          <w:lang w:val="en-GB"/>
        </w:rPr>
        <w:t>]</w:t>
      </w:r>
    </w:p>
    <w:p w14:paraId="7E3BB923" w14:textId="2B659285" w:rsidR="002F1957" w:rsidRPr="00E47890" w:rsidRDefault="0524BE7E" w:rsidP="370ABA07">
      <w:pPr>
        <w:rPr>
          <w:lang w:val="en-GB"/>
        </w:rPr>
      </w:pPr>
      <w:r w:rsidRPr="1884EB9B">
        <w:rPr>
          <w:lang w:val="en-GB"/>
        </w:rPr>
        <w:t>The supplementary payment can have a different form depending on the institution's decision</w:t>
      </w:r>
      <w:r w:rsidR="712B463A" w:rsidRPr="1884EB9B">
        <w:rPr>
          <w:lang w:val="en-GB"/>
        </w:rPr>
        <w:t xml:space="preserve"> (e.g., % of clearly identified bases, a certain amount</w:t>
      </w:r>
      <w:r w:rsidR="7DC9D0FB" w:rsidRPr="1884EB9B">
        <w:rPr>
          <w:lang w:val="en-GB"/>
        </w:rPr>
        <w:t xml:space="preserve"> per month, a certain amount per hour</w:t>
      </w:r>
      <w:r w:rsidR="1FFCB4A4" w:rsidRPr="1884EB9B">
        <w:rPr>
          <w:lang w:val="en-GB"/>
        </w:rPr>
        <w:t>/day</w:t>
      </w:r>
      <w:r w:rsidR="7DC9D0FB" w:rsidRPr="1884EB9B">
        <w:rPr>
          <w:lang w:val="en-GB"/>
        </w:rPr>
        <w:t xml:space="preserve"> worked in the project, or other).</w:t>
      </w:r>
    </w:p>
    <w:p w14:paraId="628A0DC9" w14:textId="60749CC8" w:rsidR="002A62D7" w:rsidRPr="00E47890" w:rsidRDefault="004019BC" w:rsidP="002A62D7">
      <w:pPr>
        <w:rPr>
          <w:rFonts w:cstheme="minorHAnsi"/>
          <w:lang w:val="en-GB"/>
        </w:rPr>
      </w:pPr>
      <w:r w:rsidRPr="00E47890">
        <w:rPr>
          <w:rFonts w:cstheme="minorHAnsi"/>
          <w:lang w:val="en-GB"/>
        </w:rPr>
        <w:t>[</w:t>
      </w:r>
      <w:r w:rsidR="00C5787A" w:rsidRPr="00E47890">
        <w:rPr>
          <w:i/>
          <w:iCs/>
          <w:lang w:val="en-GB"/>
        </w:rPr>
        <w:t>CRITERIA</w:t>
      </w:r>
      <w:r w:rsidRPr="00E47890">
        <w:rPr>
          <w:rFonts w:cstheme="minorHAnsi"/>
          <w:lang w:val="en-GB"/>
        </w:rPr>
        <w:t>]</w:t>
      </w:r>
    </w:p>
    <w:p w14:paraId="074EBE63" w14:textId="00E14AD5" w:rsidR="004019BC" w:rsidRPr="00E47890" w:rsidRDefault="547FFDD4" w:rsidP="370ABA07">
      <w:pPr>
        <w:rPr>
          <w:lang w:val="en-GB"/>
        </w:rPr>
      </w:pPr>
      <w:r w:rsidRPr="1884EB9B">
        <w:rPr>
          <w:lang w:val="en-GB"/>
        </w:rPr>
        <w:t xml:space="preserve">The internal regulation can identify different amounts for different </w:t>
      </w:r>
      <w:r w:rsidR="35925032" w:rsidRPr="1884EB9B">
        <w:rPr>
          <w:lang w:val="en-GB"/>
        </w:rPr>
        <w:t>employees fulfilling different criteria</w:t>
      </w:r>
      <w:r w:rsidRPr="1884EB9B">
        <w:rPr>
          <w:lang w:val="en-GB"/>
        </w:rPr>
        <w:t xml:space="preserve"> (e.g.</w:t>
      </w:r>
      <w:r w:rsidR="408B208B" w:rsidRPr="1884EB9B">
        <w:rPr>
          <w:lang w:val="en-GB"/>
        </w:rPr>
        <w:t>,</w:t>
      </w:r>
      <w:r w:rsidRPr="1884EB9B">
        <w:rPr>
          <w:lang w:val="en-GB"/>
        </w:rPr>
        <w:t xml:space="preserve"> </w:t>
      </w:r>
      <w:r w:rsidR="047BC473" w:rsidRPr="1884EB9B">
        <w:rPr>
          <w:lang w:val="en-GB"/>
        </w:rPr>
        <w:t>thei</w:t>
      </w:r>
      <w:r w:rsidR="35925032" w:rsidRPr="1884EB9B">
        <w:rPr>
          <w:lang w:val="en-GB"/>
        </w:rPr>
        <w:t xml:space="preserve">r </w:t>
      </w:r>
      <w:r w:rsidRPr="1884EB9B">
        <w:rPr>
          <w:lang w:val="en-GB"/>
        </w:rPr>
        <w:t xml:space="preserve">role in the project such as principal investigator and </w:t>
      </w:r>
      <w:r w:rsidR="408B208B" w:rsidRPr="1884EB9B">
        <w:rPr>
          <w:lang w:val="en-GB"/>
        </w:rPr>
        <w:t>researcher</w:t>
      </w:r>
      <w:r w:rsidRPr="1884EB9B">
        <w:rPr>
          <w:lang w:val="en-GB"/>
        </w:rPr>
        <w:t xml:space="preserve">, </w:t>
      </w:r>
      <w:r w:rsidR="047BC473" w:rsidRPr="1884EB9B">
        <w:rPr>
          <w:lang w:val="en-GB"/>
        </w:rPr>
        <w:t>thei</w:t>
      </w:r>
      <w:r w:rsidR="35925032" w:rsidRPr="1884EB9B">
        <w:rPr>
          <w:lang w:val="en-GB"/>
        </w:rPr>
        <w:t>r position and seniority, the size of the project being implemented, or other objective criteria)</w:t>
      </w:r>
      <w:r w:rsidR="408B208B" w:rsidRPr="1884EB9B">
        <w:rPr>
          <w:lang w:val="en-GB"/>
        </w:rPr>
        <w:t>, in accordance with the decision of the institution.</w:t>
      </w:r>
      <w:r w:rsidR="1FFCB4A4" w:rsidRPr="1884EB9B">
        <w:rPr>
          <w:lang w:val="en-GB"/>
        </w:rPr>
        <w:t xml:space="preserve"> It is up to the institution's decision whether to use more complex systems differentiating the level of supplementary payments depending on a greater number of criteria or just a simple one.</w:t>
      </w:r>
      <w:r w:rsidR="30565CB8" w:rsidRPr="1884EB9B">
        <w:rPr>
          <w:lang w:val="en-GB"/>
        </w:rPr>
        <w:t xml:space="preserve"> The defined system </w:t>
      </w:r>
      <w:r w:rsidR="0036550D" w:rsidRPr="1884EB9B">
        <w:rPr>
          <w:lang w:val="en-GB"/>
        </w:rPr>
        <w:t>must</w:t>
      </w:r>
      <w:r w:rsidR="30565CB8" w:rsidRPr="1884EB9B">
        <w:rPr>
          <w:lang w:val="en-GB"/>
        </w:rPr>
        <w:t xml:space="preserve"> be applied</w:t>
      </w:r>
      <w:r w:rsidR="0036550D">
        <w:rPr>
          <w:lang w:val="en-GB"/>
        </w:rPr>
        <w:t xml:space="preserve"> </w:t>
      </w:r>
      <w:r w:rsidR="0036550D" w:rsidRPr="1884EB9B">
        <w:rPr>
          <w:lang w:val="en-GB"/>
        </w:rPr>
        <w:t>consistently</w:t>
      </w:r>
      <w:r w:rsidR="30565CB8" w:rsidRPr="1884EB9B">
        <w:rPr>
          <w:lang w:val="en-GB"/>
        </w:rPr>
        <w:t>.</w:t>
      </w:r>
    </w:p>
    <w:p w14:paraId="0EFDCF93" w14:textId="77777777" w:rsidR="006C3C44" w:rsidRPr="00E47890" w:rsidRDefault="006C3C44" w:rsidP="006C3C44">
      <w:pPr>
        <w:rPr>
          <w:rFonts w:cstheme="minorHAnsi"/>
          <w:lang w:val="en-GB"/>
        </w:rPr>
      </w:pPr>
      <w:r w:rsidRPr="00E47890">
        <w:rPr>
          <w:rFonts w:cstheme="minorHAnsi"/>
          <w:lang w:val="en-GB"/>
        </w:rPr>
        <w:t>[</w:t>
      </w:r>
      <w:r w:rsidRPr="00E47890">
        <w:rPr>
          <w:i/>
          <w:iCs/>
          <w:lang w:val="en-GB"/>
        </w:rPr>
        <w:t>TABLE 1</w:t>
      </w:r>
      <w:r w:rsidRPr="00E47890">
        <w:rPr>
          <w:rFonts w:cstheme="minorHAnsi"/>
          <w:lang w:val="en-GB"/>
        </w:rPr>
        <w:t>]</w:t>
      </w:r>
    </w:p>
    <w:p w14:paraId="76720384" w14:textId="36AC8D43" w:rsidR="006C3C44" w:rsidRPr="00E47890" w:rsidRDefault="006C3C44" w:rsidP="370ABA07">
      <w:pPr>
        <w:rPr>
          <w:lang w:val="en-GB"/>
        </w:rPr>
      </w:pPr>
      <w:r w:rsidRPr="370ABA07">
        <w:rPr>
          <w:lang w:val="en-GB"/>
        </w:rPr>
        <w:t xml:space="preserve">Specific amounts are specified in Table 1. </w:t>
      </w:r>
    </w:p>
    <w:p w14:paraId="067C2B28" w14:textId="2C4F3437" w:rsidR="00C5787A" w:rsidRPr="00E47890" w:rsidRDefault="008A59B9" w:rsidP="370ABA07">
      <w:pPr>
        <w:rPr>
          <w:lang w:val="en-GB"/>
        </w:rPr>
      </w:pPr>
      <w:r w:rsidRPr="370ABA07">
        <w:rPr>
          <w:lang w:val="en-GB"/>
        </w:rPr>
        <w:t>Suppose the internal regulation provides for a bonus range or a maximum ceiling rather than a specific amount. In that case</w:t>
      </w:r>
      <w:r w:rsidR="00025668" w:rsidRPr="370ABA07">
        <w:rPr>
          <w:lang w:val="en-GB"/>
        </w:rPr>
        <w:t xml:space="preserve">, the remuneration to which the person would be entitled to in Horizon Europe projects (national project daily rate) is the average of the remuneration received for work in </w:t>
      </w:r>
      <w:r w:rsidR="00012D25" w:rsidRPr="370ABA07">
        <w:rPr>
          <w:lang w:val="en-GB"/>
        </w:rPr>
        <w:t>other than EU projects</w:t>
      </w:r>
      <w:r w:rsidR="00025668" w:rsidRPr="370ABA07">
        <w:rPr>
          <w:lang w:val="en-GB"/>
        </w:rPr>
        <w:t xml:space="preserve"> in the last complete year before the end of the reporting period.</w:t>
      </w:r>
    </w:p>
    <w:p w14:paraId="0DCB9F0F" w14:textId="7E0AFA4B" w:rsidR="00C5787A" w:rsidRPr="00E47890" w:rsidRDefault="008C7DF1" w:rsidP="00C5787A">
      <w:pPr>
        <w:rPr>
          <w:rFonts w:cstheme="minorHAnsi"/>
          <w:lang w:val="en-GB"/>
        </w:rPr>
      </w:pPr>
      <w:r w:rsidRPr="00E47890">
        <w:rPr>
          <w:rFonts w:cstheme="minorHAnsi"/>
          <w:lang w:val="en-GB"/>
        </w:rPr>
        <w:t>[</w:t>
      </w:r>
      <w:r w:rsidRPr="00E47890">
        <w:rPr>
          <w:i/>
          <w:iCs/>
          <w:lang w:val="en-GB"/>
        </w:rPr>
        <w:t>FREQUENCY</w:t>
      </w:r>
      <w:r w:rsidRPr="00E47890">
        <w:rPr>
          <w:rFonts w:cstheme="minorHAnsi"/>
          <w:lang w:val="en-GB"/>
        </w:rPr>
        <w:t>]</w:t>
      </w:r>
    </w:p>
    <w:p w14:paraId="70A4BE36" w14:textId="5D702C2D" w:rsidR="008A59B9" w:rsidRDefault="007C2E28" w:rsidP="370ABA07">
      <w:pPr>
        <w:rPr>
          <w:lang w:val="en-GB"/>
        </w:rPr>
      </w:pPr>
      <w:r w:rsidRPr="370ABA07">
        <w:rPr>
          <w:rFonts w:ascii="Calibri" w:eastAsia="Calibri" w:hAnsi="Calibri" w:cs="Calibri"/>
          <w:lang w:val="en-GB"/>
        </w:rPr>
        <w:t xml:space="preserve">Frequency of the payment of the supplementary payment depends on the </w:t>
      </w:r>
      <w:r w:rsidRPr="370ABA07">
        <w:rPr>
          <w:lang w:val="en-GB"/>
        </w:rPr>
        <w:t>institution's decision. The most common is likely to be monthly in the employee's monthly salary. However, a lower frequency (e.g., yearly in the form of a yearly bonus) is also possible.</w:t>
      </w:r>
    </w:p>
    <w:p w14:paraId="47381D41" w14:textId="77777777" w:rsidR="008D2A7B" w:rsidRDefault="008D2A7B" w:rsidP="370ABA07">
      <w:pPr>
        <w:rPr>
          <w:lang w:val="en-GB"/>
        </w:rPr>
      </w:pPr>
    </w:p>
    <w:p w14:paraId="48E12D31" w14:textId="5D6C0A33" w:rsidR="008A59B9" w:rsidRPr="00194330" w:rsidRDefault="008A59B9" w:rsidP="370ABA07">
      <w:pPr>
        <w:rPr>
          <w:b/>
          <w:bCs/>
          <w:color w:val="70AD47" w:themeColor="accent6"/>
          <w:lang w:val="en-GB"/>
        </w:rPr>
      </w:pPr>
      <w:r w:rsidRPr="00194330">
        <w:rPr>
          <w:b/>
          <w:bCs/>
          <w:color w:val="70AD47" w:themeColor="accent6"/>
          <w:lang w:val="en-GB"/>
        </w:rPr>
        <w:t>EXAMPLE 1</w:t>
      </w:r>
    </w:p>
    <w:p w14:paraId="2DD0F0FD" w14:textId="77777777" w:rsidR="0D497930" w:rsidRPr="00E47890" w:rsidRDefault="0D497930" w:rsidP="0D497930">
      <w:pPr>
        <w:shd w:val="clear" w:color="auto" w:fill="E2EFD9" w:themeFill="accent6" w:themeFillTint="33"/>
        <w:jc w:val="center"/>
        <w:rPr>
          <w:b/>
          <w:bCs/>
          <w:sz w:val="24"/>
          <w:szCs w:val="24"/>
          <w:lang w:val="en-GB"/>
        </w:rPr>
      </w:pPr>
    </w:p>
    <w:p w14:paraId="362D6E9C" w14:textId="059AC18A" w:rsidR="1902DFCD" w:rsidRPr="00E47890" w:rsidRDefault="1902DFCD" w:rsidP="0D497930">
      <w:pPr>
        <w:shd w:val="clear" w:color="auto" w:fill="E2EFD9" w:themeFill="accent6" w:themeFillTint="33"/>
        <w:jc w:val="center"/>
        <w:rPr>
          <w:b/>
          <w:bCs/>
          <w:sz w:val="24"/>
          <w:szCs w:val="24"/>
          <w:lang w:val="en-GB"/>
        </w:rPr>
      </w:pPr>
      <w:r w:rsidRPr="00E47890">
        <w:rPr>
          <w:b/>
          <w:bCs/>
          <w:sz w:val="24"/>
          <w:szCs w:val="24"/>
          <w:lang w:val="en-GB"/>
        </w:rPr>
        <w:t>Written internal regulation for project-based supplementary payments</w:t>
      </w:r>
    </w:p>
    <w:p w14:paraId="6F2E4341" w14:textId="13CA758F" w:rsidR="1902DFCD" w:rsidRPr="00E47890" w:rsidRDefault="1902DFCD" w:rsidP="0D497930">
      <w:pPr>
        <w:shd w:val="clear" w:color="auto" w:fill="E2EFD9" w:themeFill="accent6" w:themeFillTint="33"/>
        <w:jc w:val="center"/>
        <w:rPr>
          <w:rFonts w:ascii="Calibri" w:eastAsia="Calibri" w:hAnsi="Calibri" w:cs="Calibri"/>
          <w:lang w:val="en-GB"/>
        </w:rPr>
      </w:pPr>
      <w:r w:rsidRPr="00E47890">
        <w:rPr>
          <w:rFonts w:ascii="Calibri" w:eastAsia="Calibri" w:hAnsi="Calibri" w:cs="Calibri"/>
          <w:lang w:val="en-GB"/>
        </w:rPr>
        <w:t>methodological guidance of the Dean</w:t>
      </w:r>
    </w:p>
    <w:p w14:paraId="300BBB53" w14:textId="0BE21DB3" w:rsidR="1902DFCD" w:rsidRPr="00E47890" w:rsidRDefault="1902DFCD" w:rsidP="0D497930">
      <w:pPr>
        <w:shd w:val="clear" w:color="auto" w:fill="E2EFD9" w:themeFill="accent6" w:themeFillTint="33"/>
        <w:jc w:val="center"/>
        <w:rPr>
          <w:lang w:val="en-GB"/>
        </w:rPr>
      </w:pPr>
      <w:r w:rsidRPr="00E47890">
        <w:rPr>
          <w:lang w:val="en-GB"/>
        </w:rPr>
        <w:t xml:space="preserve">Faculty of </w:t>
      </w:r>
      <w:r w:rsidR="00350A53">
        <w:rPr>
          <w:lang w:val="en-GB"/>
        </w:rPr>
        <w:t>Philosophy</w:t>
      </w:r>
      <w:r w:rsidRPr="00E47890">
        <w:rPr>
          <w:lang w:val="en-GB"/>
        </w:rPr>
        <w:t>, University Prague</w:t>
      </w:r>
    </w:p>
    <w:p w14:paraId="1F07207B" w14:textId="77777777" w:rsidR="00E80E1D" w:rsidRDefault="1902DFCD" w:rsidP="00E80E1D">
      <w:pPr>
        <w:shd w:val="clear" w:color="auto" w:fill="E2EFD9" w:themeFill="accent6" w:themeFillTint="33"/>
        <w:jc w:val="center"/>
        <w:rPr>
          <w:lang w:val="en-GB"/>
        </w:rPr>
      </w:pPr>
      <w:r w:rsidRPr="370ABA07">
        <w:rPr>
          <w:lang w:val="en-GB"/>
        </w:rPr>
        <w:t>Effective for new projects from 1.1.202</w:t>
      </w:r>
      <w:r w:rsidR="08CC859F" w:rsidRPr="370ABA07">
        <w:rPr>
          <w:lang w:val="en-GB"/>
        </w:rPr>
        <w:t>3</w:t>
      </w:r>
    </w:p>
    <w:p w14:paraId="17104941" w14:textId="77777777" w:rsidR="00E80E1D" w:rsidRDefault="00E80E1D" w:rsidP="00E80E1D">
      <w:pPr>
        <w:shd w:val="clear" w:color="auto" w:fill="E2EFD9" w:themeFill="accent6" w:themeFillTint="33"/>
        <w:jc w:val="center"/>
        <w:rPr>
          <w:lang w:val="en-GB"/>
        </w:rPr>
      </w:pPr>
    </w:p>
    <w:p w14:paraId="555A6CEC" w14:textId="066D028A" w:rsidR="008A59B9" w:rsidRDefault="1902DFCD" w:rsidP="00E80E1D">
      <w:pPr>
        <w:shd w:val="clear" w:color="auto" w:fill="E2EFD9" w:themeFill="accent6" w:themeFillTint="33"/>
        <w:rPr>
          <w:lang w:val="en-GB"/>
        </w:rPr>
      </w:pPr>
      <w:r w:rsidRPr="370ABA07">
        <w:rPr>
          <w:lang w:val="en-GB"/>
        </w:rPr>
        <w:t xml:space="preserve">For the time worked </w:t>
      </w:r>
      <w:r w:rsidR="008A59B9" w:rsidRPr="370ABA07">
        <w:rPr>
          <w:lang w:val="en-GB"/>
        </w:rPr>
        <w:t xml:space="preserve">on </w:t>
      </w:r>
      <w:r w:rsidR="4761FA29" w:rsidRPr="00350A53">
        <w:rPr>
          <w:b/>
          <w:bCs/>
          <w:lang w:val="en-GB"/>
        </w:rPr>
        <w:t xml:space="preserve">excellent </w:t>
      </w:r>
      <w:r w:rsidR="008A59B9" w:rsidRPr="00350A53">
        <w:rPr>
          <w:b/>
          <w:bCs/>
          <w:lang w:val="en-GB"/>
        </w:rPr>
        <w:t xml:space="preserve">research and innovation </w:t>
      </w:r>
      <w:r w:rsidRPr="00350A53">
        <w:rPr>
          <w:b/>
          <w:bCs/>
          <w:lang w:val="en-GB"/>
        </w:rPr>
        <w:t>projects</w:t>
      </w:r>
      <w:r w:rsidR="258742D8" w:rsidRPr="00350A53">
        <w:rPr>
          <w:lang w:val="en-GB"/>
        </w:rPr>
        <w:t xml:space="preserve"> </w:t>
      </w:r>
      <w:r w:rsidRPr="370ABA07">
        <w:rPr>
          <w:lang w:val="en-GB"/>
        </w:rPr>
        <w:t>financed from</w:t>
      </w:r>
      <w:r w:rsidR="00F14C51">
        <w:rPr>
          <w:lang w:val="en-GB"/>
        </w:rPr>
        <w:t xml:space="preserve"> the following</w:t>
      </w:r>
      <w:r w:rsidRPr="370ABA07">
        <w:rPr>
          <w:lang w:val="en-GB"/>
        </w:rPr>
        <w:t xml:space="preserve"> external sources (national and foreign</w:t>
      </w:r>
      <w:r w:rsidR="0079172E">
        <w:rPr>
          <w:lang w:val="en-GB"/>
        </w:rPr>
        <w:t>)</w:t>
      </w:r>
      <w:r w:rsidR="008A59B9" w:rsidRPr="370ABA07">
        <w:rPr>
          <w:lang w:val="en-GB"/>
        </w:rPr>
        <w:t>:</w:t>
      </w:r>
    </w:p>
    <w:p w14:paraId="619A0BC8" w14:textId="77777777" w:rsidR="00E80E1D" w:rsidRDefault="00E80E1D" w:rsidP="00E80E1D">
      <w:pPr>
        <w:shd w:val="clear" w:color="auto" w:fill="E2EFD9" w:themeFill="accent6" w:themeFillTint="33"/>
        <w:rPr>
          <w:lang w:val="en-GB"/>
        </w:rPr>
      </w:pPr>
    </w:p>
    <w:p w14:paraId="0A7C1BDF" w14:textId="608B20D2" w:rsidR="00E11810" w:rsidRDefault="00E11810" w:rsidP="00E11810">
      <w:pPr>
        <w:pStyle w:val="Odstavecseseznamem"/>
        <w:numPr>
          <w:ilvl w:val="0"/>
          <w:numId w:val="4"/>
        </w:numPr>
        <w:shd w:val="clear" w:color="auto" w:fill="E2EFD9" w:themeFill="accent6" w:themeFillTint="33"/>
        <w:rPr>
          <w:lang w:val="en-GB"/>
        </w:rPr>
      </w:pPr>
      <w:r>
        <w:rPr>
          <w:lang w:val="en-GB"/>
        </w:rPr>
        <w:t>EU Programme Horizon Europe</w:t>
      </w:r>
    </w:p>
    <w:p w14:paraId="16782D4A" w14:textId="31404AA3" w:rsidR="00406D4F" w:rsidRPr="00E11810" w:rsidRDefault="00406D4F" w:rsidP="00E11810">
      <w:pPr>
        <w:pStyle w:val="Odstavecseseznamem"/>
        <w:numPr>
          <w:ilvl w:val="0"/>
          <w:numId w:val="4"/>
        </w:numPr>
        <w:shd w:val="clear" w:color="auto" w:fill="E2EFD9" w:themeFill="accent6" w:themeFillTint="33"/>
        <w:rPr>
          <w:lang w:val="en-GB"/>
        </w:rPr>
      </w:pPr>
      <w:r w:rsidRPr="00E11810">
        <w:rPr>
          <w:lang w:val="en-GB"/>
        </w:rPr>
        <w:t>Czech Science Foundation JUNIOR STAR</w:t>
      </w:r>
    </w:p>
    <w:p w14:paraId="1B6E2C81" w14:textId="4C736C95" w:rsidR="00406D4F" w:rsidRPr="00E11810" w:rsidRDefault="00406D4F" w:rsidP="00E11810">
      <w:pPr>
        <w:pStyle w:val="Odstavecseseznamem"/>
        <w:numPr>
          <w:ilvl w:val="0"/>
          <w:numId w:val="4"/>
        </w:numPr>
        <w:shd w:val="clear" w:color="auto" w:fill="E2EFD9" w:themeFill="accent6" w:themeFillTint="33"/>
        <w:rPr>
          <w:lang w:val="en-GB"/>
        </w:rPr>
      </w:pPr>
      <w:r w:rsidRPr="00E11810">
        <w:rPr>
          <w:lang w:val="en-GB"/>
        </w:rPr>
        <w:t xml:space="preserve">Czech Science Foundation EXPRO </w:t>
      </w:r>
    </w:p>
    <w:p w14:paraId="6CAE0250" w14:textId="530E4353" w:rsidR="00406D4F" w:rsidRPr="00E11810" w:rsidRDefault="00E11810" w:rsidP="00E11810">
      <w:pPr>
        <w:pStyle w:val="Odstavecseseznamem"/>
        <w:numPr>
          <w:ilvl w:val="0"/>
          <w:numId w:val="4"/>
        </w:numPr>
        <w:shd w:val="clear" w:color="auto" w:fill="E2EFD9" w:themeFill="accent6" w:themeFillTint="33"/>
        <w:rPr>
          <w:lang w:val="en-GB"/>
        </w:rPr>
      </w:pPr>
      <w:r w:rsidRPr="00E11810">
        <w:rPr>
          <w:lang w:val="en-GB"/>
        </w:rPr>
        <w:t xml:space="preserve">Technology Agency of the Czech Republic - </w:t>
      </w:r>
      <w:r w:rsidR="00406D4F" w:rsidRPr="00E11810">
        <w:rPr>
          <w:lang w:val="en-GB"/>
        </w:rPr>
        <w:t>NATIONAL CENTRES OF COMPETENCE</w:t>
      </w:r>
    </w:p>
    <w:p w14:paraId="34434AF9" w14:textId="51D73202" w:rsidR="00E11810" w:rsidRPr="00E11810" w:rsidRDefault="00E11810" w:rsidP="00E11810">
      <w:pPr>
        <w:pStyle w:val="Odstavecseseznamem"/>
        <w:numPr>
          <w:ilvl w:val="0"/>
          <w:numId w:val="4"/>
        </w:numPr>
        <w:shd w:val="clear" w:color="auto" w:fill="E2EFD9" w:themeFill="accent6" w:themeFillTint="33"/>
        <w:rPr>
          <w:lang w:val="en-GB"/>
        </w:rPr>
      </w:pPr>
      <w:r w:rsidRPr="00E11810">
        <w:rPr>
          <w:lang w:val="en-GB"/>
        </w:rPr>
        <w:t xml:space="preserve">Ministry of Education, Youth and Sports - </w:t>
      </w:r>
      <w:r w:rsidR="00406D4F" w:rsidRPr="00E11810">
        <w:rPr>
          <w:lang w:val="en-GB"/>
        </w:rPr>
        <w:t>ERC CZ</w:t>
      </w:r>
    </w:p>
    <w:p w14:paraId="57AF34E3" w14:textId="52BE45FF" w:rsidR="00F826D6" w:rsidRDefault="00E11810" w:rsidP="007122CA">
      <w:pPr>
        <w:pStyle w:val="Odstavecseseznamem"/>
        <w:numPr>
          <w:ilvl w:val="0"/>
          <w:numId w:val="4"/>
        </w:numPr>
        <w:shd w:val="clear" w:color="auto" w:fill="E2EFD9" w:themeFill="accent6" w:themeFillTint="33"/>
        <w:rPr>
          <w:lang w:val="en-GB"/>
        </w:rPr>
      </w:pPr>
      <w:r w:rsidRPr="00E11810">
        <w:rPr>
          <w:lang w:val="en-GB"/>
        </w:rPr>
        <w:t>Ministry of Education, Youth and Sports - Johannes Amos Comenius Programme (P JAC</w:t>
      </w:r>
      <w:r w:rsidR="00F826D6">
        <w:rPr>
          <w:lang w:val="en-GB"/>
        </w:rPr>
        <w:t>)</w:t>
      </w:r>
      <w:r w:rsidR="00F826D6" w:rsidRPr="00F826D6">
        <w:rPr>
          <w:lang w:val="en-GB"/>
        </w:rPr>
        <w:t xml:space="preserve"> </w:t>
      </w:r>
      <w:r w:rsidR="00F826D6" w:rsidRPr="00E11810">
        <w:rPr>
          <w:lang w:val="en-GB"/>
        </w:rPr>
        <w:t>-</w:t>
      </w:r>
      <w:r w:rsidR="00F826D6">
        <w:rPr>
          <w:lang w:val="en-GB"/>
        </w:rPr>
        <w:t xml:space="preserve"> </w:t>
      </w:r>
      <w:r w:rsidR="00FC736B" w:rsidRPr="00E250C9">
        <w:rPr>
          <w:lang w:val="en-GB"/>
        </w:rPr>
        <w:t>SO 1.1</w:t>
      </w:r>
    </w:p>
    <w:p w14:paraId="15E7E62C" w14:textId="0E39DD61" w:rsidR="005E3628" w:rsidRPr="00E11810" w:rsidRDefault="005E3628" w:rsidP="00E11810">
      <w:pPr>
        <w:pStyle w:val="Odstavecseseznamem"/>
        <w:numPr>
          <w:ilvl w:val="0"/>
          <w:numId w:val="4"/>
        </w:numPr>
        <w:shd w:val="clear" w:color="auto" w:fill="E2EFD9" w:themeFill="accent6" w:themeFillTint="33"/>
        <w:rPr>
          <w:lang w:val="en-GB"/>
        </w:rPr>
      </w:pPr>
      <w:r>
        <w:rPr>
          <w:lang w:val="en-GB"/>
        </w:rPr>
        <w:lastRenderedPageBreak/>
        <w:t xml:space="preserve">Other funding schemes </w:t>
      </w:r>
      <w:r w:rsidRPr="005E3628">
        <w:rPr>
          <w:lang w:val="en-GB"/>
        </w:rPr>
        <w:t xml:space="preserve">which, according to the call text, support excellence in research </w:t>
      </w:r>
    </w:p>
    <w:p w14:paraId="3227366B" w14:textId="0CFCF596" w:rsidR="1902DFCD" w:rsidRPr="00E47890" w:rsidRDefault="1902DFCD" w:rsidP="0D497930">
      <w:pPr>
        <w:shd w:val="clear" w:color="auto" w:fill="E2EFD9" w:themeFill="accent6" w:themeFillTint="33"/>
        <w:rPr>
          <w:lang w:val="en-GB"/>
        </w:rPr>
      </w:pPr>
      <w:r w:rsidRPr="370ABA07">
        <w:rPr>
          <w:lang w:val="en-GB"/>
        </w:rPr>
        <w:t>employee</w:t>
      </w:r>
      <w:r w:rsidR="008A59B9" w:rsidRPr="370ABA07">
        <w:rPr>
          <w:lang w:val="en-GB"/>
        </w:rPr>
        <w:t>s</w:t>
      </w:r>
      <w:r w:rsidRPr="370ABA07">
        <w:rPr>
          <w:lang w:val="en-GB"/>
        </w:rPr>
        <w:t xml:space="preserve"> </w:t>
      </w:r>
      <w:r w:rsidR="008A59B9" w:rsidRPr="370ABA07">
        <w:rPr>
          <w:lang w:val="en-GB"/>
        </w:rPr>
        <w:t xml:space="preserve">are entitled to </w:t>
      </w:r>
      <w:r w:rsidRPr="370ABA07">
        <w:rPr>
          <w:lang w:val="en-GB"/>
        </w:rPr>
        <w:t>supplementary payment</w:t>
      </w:r>
      <w:r w:rsidR="008A59B9" w:rsidRPr="370ABA07">
        <w:rPr>
          <w:lang w:val="en-GB"/>
        </w:rPr>
        <w:t>s</w:t>
      </w:r>
      <w:r w:rsidRPr="370ABA07">
        <w:rPr>
          <w:lang w:val="en-GB"/>
        </w:rPr>
        <w:t xml:space="preserve"> in the form of </w:t>
      </w:r>
      <w:r w:rsidRPr="00350A53">
        <w:rPr>
          <w:b/>
          <w:bCs/>
          <w:lang w:val="en-GB"/>
        </w:rPr>
        <w:t>a</w:t>
      </w:r>
      <w:r w:rsidR="1404EE77" w:rsidRPr="00350A53">
        <w:rPr>
          <w:b/>
          <w:bCs/>
          <w:lang w:val="en-GB"/>
        </w:rPr>
        <w:t>n extra</w:t>
      </w:r>
      <w:r w:rsidRPr="00350A53">
        <w:rPr>
          <w:b/>
          <w:bCs/>
          <w:lang w:val="en-GB"/>
        </w:rPr>
        <w:t xml:space="preserve"> </w:t>
      </w:r>
      <w:r w:rsidR="6D23C8ED" w:rsidRPr="00350A53">
        <w:rPr>
          <w:b/>
          <w:bCs/>
          <w:lang w:val="en-GB"/>
        </w:rPr>
        <w:t>% of</w:t>
      </w:r>
      <w:r w:rsidR="008A59B9" w:rsidRPr="00350A53">
        <w:rPr>
          <w:b/>
          <w:bCs/>
          <w:lang w:val="en-GB"/>
        </w:rPr>
        <w:t xml:space="preserve"> mandatory parts of their salary defined in their salary statement</w:t>
      </w:r>
      <w:r w:rsidRPr="370ABA07">
        <w:rPr>
          <w:lang w:val="en-GB"/>
        </w:rPr>
        <w:t xml:space="preserve">, in proportion to </w:t>
      </w:r>
      <w:r w:rsidR="008A59B9" w:rsidRPr="370ABA07">
        <w:rPr>
          <w:lang w:val="en-GB"/>
        </w:rPr>
        <w:t>thei</w:t>
      </w:r>
      <w:r w:rsidRPr="370ABA07">
        <w:rPr>
          <w:lang w:val="en-GB"/>
        </w:rPr>
        <w:t xml:space="preserve">r working time in the project. The specific </w:t>
      </w:r>
      <w:r w:rsidR="008A59B9" w:rsidRPr="370ABA07">
        <w:rPr>
          <w:lang w:val="en-GB"/>
        </w:rPr>
        <w:t>percentages, reflecting the project</w:t>
      </w:r>
      <w:r w:rsidR="008A59B9" w:rsidRPr="370ABA07">
        <w:rPr>
          <w:rFonts w:ascii="Franklin Gothic Book" w:hAnsi="Franklin Gothic Book"/>
          <w:lang w:val="en-GB"/>
        </w:rPr>
        <w:t>′</w:t>
      </w:r>
      <w:r w:rsidR="008A59B9" w:rsidRPr="370ABA07">
        <w:rPr>
          <w:lang w:val="en-GB"/>
        </w:rPr>
        <w:t xml:space="preserve">s role, </w:t>
      </w:r>
      <w:r w:rsidRPr="370ABA07">
        <w:rPr>
          <w:lang w:val="en-GB"/>
        </w:rPr>
        <w:t>are defined in Table 1</w:t>
      </w:r>
      <w:r w:rsidR="008A59B9" w:rsidRPr="370ABA07">
        <w:rPr>
          <w:lang w:val="en-GB"/>
        </w:rPr>
        <w:t>.</w:t>
      </w:r>
      <w:r w:rsidRPr="370ABA07">
        <w:rPr>
          <w:lang w:val="en-GB"/>
        </w:rPr>
        <w:t xml:space="preserve"> </w:t>
      </w:r>
      <w:r w:rsidR="008A59B9" w:rsidRPr="370ABA07">
        <w:rPr>
          <w:lang w:val="en-GB"/>
        </w:rPr>
        <w:t xml:space="preserve">Supplementary payments </w:t>
      </w:r>
      <w:r w:rsidRPr="370ABA07">
        <w:rPr>
          <w:lang w:val="en-GB"/>
        </w:rPr>
        <w:t xml:space="preserve">will be paid to the employees </w:t>
      </w:r>
      <w:r w:rsidR="008A59B9" w:rsidRPr="370ABA07">
        <w:rPr>
          <w:lang w:val="en-GB"/>
        </w:rPr>
        <w:t xml:space="preserve">on </w:t>
      </w:r>
      <w:r w:rsidR="008A59B9" w:rsidRPr="00350A53">
        <w:rPr>
          <w:b/>
          <w:bCs/>
          <w:lang w:val="en-GB"/>
        </w:rPr>
        <w:t>monthly</w:t>
      </w:r>
      <w:r w:rsidR="008A59B9" w:rsidRPr="370ABA07">
        <w:rPr>
          <w:lang w:val="en-GB"/>
        </w:rPr>
        <w:t xml:space="preserve"> bases in their salary</w:t>
      </w:r>
      <w:r w:rsidRPr="370ABA07">
        <w:rPr>
          <w:lang w:val="en-GB"/>
        </w:rPr>
        <w:t>.</w:t>
      </w:r>
    </w:p>
    <w:p w14:paraId="6C9982CB" w14:textId="739EEA38" w:rsidR="1902DFCD" w:rsidRPr="00E47890" w:rsidRDefault="1902DFCD" w:rsidP="370ABA07">
      <w:pPr>
        <w:shd w:val="clear" w:color="auto" w:fill="E2EFD9" w:themeFill="accent6" w:themeFillTint="33"/>
        <w:rPr>
          <w:lang w:val="en-GB"/>
        </w:rPr>
      </w:pPr>
      <w:r w:rsidRPr="370ABA07">
        <w:rPr>
          <w:lang w:val="en-GB"/>
        </w:rPr>
        <w:t>Table 1</w:t>
      </w:r>
    </w:p>
    <w:tbl>
      <w:tblPr>
        <w:tblStyle w:val="Mkatabulky"/>
        <w:tblW w:w="0" w:type="auto"/>
        <w:tblLook w:val="04A0" w:firstRow="1" w:lastRow="0" w:firstColumn="1" w:lastColumn="0" w:noHBand="0" w:noVBand="1"/>
      </w:tblPr>
      <w:tblGrid>
        <w:gridCol w:w="4531"/>
        <w:gridCol w:w="4531"/>
      </w:tblGrid>
      <w:tr w:rsidR="0D497930" w:rsidRPr="00E47890" w14:paraId="6F1E54E1" w14:textId="77777777" w:rsidTr="370ABA07">
        <w:trPr>
          <w:trHeight w:val="300"/>
        </w:trPr>
        <w:tc>
          <w:tcPr>
            <w:tcW w:w="4531" w:type="dxa"/>
            <w:shd w:val="clear" w:color="auto" w:fill="E2EFD9" w:themeFill="accent6" w:themeFillTint="33"/>
          </w:tcPr>
          <w:p w14:paraId="1C427803" w14:textId="13F1FC8F" w:rsidR="0D497930" w:rsidRPr="00E47890" w:rsidRDefault="0D497930" w:rsidP="0D497930">
            <w:pPr>
              <w:shd w:val="clear" w:color="auto" w:fill="E2EFD9" w:themeFill="accent6" w:themeFillTint="33"/>
              <w:rPr>
                <w:lang w:val="en-GB"/>
              </w:rPr>
            </w:pPr>
            <w:r w:rsidRPr="00E47890">
              <w:rPr>
                <w:lang w:val="en-GB"/>
              </w:rPr>
              <w:t>Role in the project</w:t>
            </w:r>
          </w:p>
        </w:tc>
        <w:tc>
          <w:tcPr>
            <w:tcW w:w="4531" w:type="dxa"/>
            <w:shd w:val="clear" w:color="auto" w:fill="E2EFD9" w:themeFill="accent6" w:themeFillTint="33"/>
          </w:tcPr>
          <w:p w14:paraId="5AA99C91" w14:textId="4A92FB02" w:rsidR="0D497930" w:rsidRPr="00E47890" w:rsidRDefault="635F0FF6" w:rsidP="370ABA07">
            <w:pPr>
              <w:shd w:val="clear" w:color="auto" w:fill="E2EFD9" w:themeFill="accent6" w:themeFillTint="33"/>
              <w:rPr>
                <w:rFonts w:ascii="Calibri" w:eastAsia="Calibri" w:hAnsi="Calibri" w:cs="Calibri"/>
                <w:lang w:val="en-GB"/>
              </w:rPr>
            </w:pPr>
            <w:r w:rsidRPr="370ABA07">
              <w:rPr>
                <w:lang w:val="en-GB"/>
              </w:rPr>
              <w:t xml:space="preserve">The amount of the supplementary payment per month </w:t>
            </w:r>
            <w:r w:rsidR="697EF93F" w:rsidRPr="370ABA07">
              <w:rPr>
                <w:lang w:val="en-GB"/>
              </w:rPr>
              <w:t>(for full-time equivalent)</w:t>
            </w:r>
          </w:p>
        </w:tc>
      </w:tr>
      <w:tr w:rsidR="0D497930" w:rsidRPr="00E47890" w14:paraId="6C9737DF" w14:textId="77777777" w:rsidTr="370ABA07">
        <w:trPr>
          <w:trHeight w:val="300"/>
        </w:trPr>
        <w:tc>
          <w:tcPr>
            <w:tcW w:w="4531" w:type="dxa"/>
            <w:shd w:val="clear" w:color="auto" w:fill="E2EFD9" w:themeFill="accent6" w:themeFillTint="33"/>
          </w:tcPr>
          <w:p w14:paraId="58060A23" w14:textId="086521EE" w:rsidR="0D497930" w:rsidRPr="00E47890" w:rsidRDefault="0D497930" w:rsidP="0D497930">
            <w:pPr>
              <w:rPr>
                <w:lang w:val="en-GB"/>
              </w:rPr>
            </w:pPr>
            <w:r w:rsidRPr="00E47890">
              <w:rPr>
                <w:lang w:val="en-GB"/>
              </w:rPr>
              <w:t>Principal investigator</w:t>
            </w:r>
          </w:p>
        </w:tc>
        <w:tc>
          <w:tcPr>
            <w:tcW w:w="4531" w:type="dxa"/>
            <w:shd w:val="clear" w:color="auto" w:fill="E2EFD9" w:themeFill="accent6" w:themeFillTint="33"/>
          </w:tcPr>
          <w:p w14:paraId="540D7498" w14:textId="362A6906" w:rsidR="6406FCEC" w:rsidRPr="00E47890" w:rsidRDefault="6406FCEC" w:rsidP="0D497930">
            <w:pPr>
              <w:spacing w:line="259" w:lineRule="auto"/>
              <w:rPr>
                <w:lang w:val="en-GB"/>
              </w:rPr>
            </w:pPr>
            <w:r w:rsidRPr="00E47890">
              <w:rPr>
                <w:lang w:val="en-GB"/>
              </w:rPr>
              <w:t>30 %</w:t>
            </w:r>
          </w:p>
        </w:tc>
      </w:tr>
      <w:tr w:rsidR="0D497930" w:rsidRPr="00E47890" w14:paraId="6DAAC93A" w14:textId="77777777" w:rsidTr="370ABA07">
        <w:trPr>
          <w:trHeight w:val="300"/>
        </w:trPr>
        <w:tc>
          <w:tcPr>
            <w:tcW w:w="4531" w:type="dxa"/>
            <w:shd w:val="clear" w:color="auto" w:fill="E2EFD9" w:themeFill="accent6" w:themeFillTint="33"/>
          </w:tcPr>
          <w:p w14:paraId="2E3D6B6C" w14:textId="724BFC86" w:rsidR="0D497930" w:rsidRPr="00E47890" w:rsidRDefault="635F0FF6" w:rsidP="0D497930">
            <w:pPr>
              <w:rPr>
                <w:lang w:val="en-GB"/>
              </w:rPr>
            </w:pPr>
            <w:r w:rsidRPr="370ABA07">
              <w:rPr>
                <w:lang w:val="en-GB"/>
              </w:rPr>
              <w:t xml:space="preserve">Researcher </w:t>
            </w:r>
            <w:r w:rsidR="4EFA7D35" w:rsidRPr="370ABA07">
              <w:rPr>
                <w:lang w:val="en-GB"/>
              </w:rPr>
              <w:t>and</w:t>
            </w:r>
            <w:r w:rsidR="008A59B9" w:rsidRPr="370ABA07">
              <w:rPr>
                <w:lang w:val="en-GB"/>
              </w:rPr>
              <w:t>/or</w:t>
            </w:r>
            <w:r w:rsidR="4EFA7D35" w:rsidRPr="370ABA07">
              <w:rPr>
                <w:lang w:val="en-GB"/>
              </w:rPr>
              <w:t xml:space="preserve"> other staff member</w:t>
            </w:r>
          </w:p>
        </w:tc>
        <w:tc>
          <w:tcPr>
            <w:tcW w:w="4531" w:type="dxa"/>
            <w:shd w:val="clear" w:color="auto" w:fill="E2EFD9" w:themeFill="accent6" w:themeFillTint="33"/>
          </w:tcPr>
          <w:p w14:paraId="446F710B" w14:textId="3BBBD74E" w:rsidR="0DC31D3B" w:rsidRPr="00E47890" w:rsidRDefault="006169BF" w:rsidP="0D497930">
            <w:pPr>
              <w:spacing w:line="259" w:lineRule="auto"/>
              <w:rPr>
                <w:lang w:val="en-GB"/>
              </w:rPr>
            </w:pPr>
            <w:r w:rsidRPr="00E47890">
              <w:rPr>
                <w:lang w:val="en-GB"/>
              </w:rPr>
              <w:t>1</w:t>
            </w:r>
            <w:r w:rsidR="0DC31D3B" w:rsidRPr="00E47890">
              <w:rPr>
                <w:lang w:val="en-GB"/>
              </w:rPr>
              <w:t>0 %</w:t>
            </w:r>
          </w:p>
        </w:tc>
      </w:tr>
    </w:tbl>
    <w:p w14:paraId="2CABC90C" w14:textId="7D3E958F" w:rsidR="0D497930" w:rsidRPr="00E47890" w:rsidRDefault="0D497930" w:rsidP="00167A7B">
      <w:pPr>
        <w:shd w:val="clear" w:color="auto" w:fill="E2EFD9" w:themeFill="accent6" w:themeFillTint="33"/>
        <w:rPr>
          <w:lang w:val="en-GB"/>
        </w:rPr>
      </w:pPr>
    </w:p>
    <w:p w14:paraId="64FC815D" w14:textId="04EFE0B3" w:rsidR="00167A7B" w:rsidRDefault="00167A7B" w:rsidP="00167A7B">
      <w:pPr>
        <w:shd w:val="clear" w:color="auto" w:fill="FFFFFF" w:themeFill="background1"/>
        <w:rPr>
          <w:lang w:val="en-GB"/>
        </w:rPr>
      </w:pPr>
    </w:p>
    <w:p w14:paraId="18C213BA" w14:textId="77777777" w:rsidR="00AC05B0" w:rsidRPr="00CD40CE" w:rsidRDefault="00AC05B0" w:rsidP="00AC05B0">
      <w:pPr>
        <w:shd w:val="clear" w:color="auto" w:fill="FFFFFF" w:themeFill="background1"/>
        <w:rPr>
          <w:b/>
          <w:bCs/>
          <w:i/>
          <w:iCs/>
          <w:color w:val="70AD47" w:themeColor="accent6"/>
          <w:lang w:val="en-GB"/>
        </w:rPr>
      </w:pPr>
      <w:r w:rsidRPr="00CD40CE">
        <w:rPr>
          <w:b/>
          <w:bCs/>
          <w:i/>
          <w:iCs/>
          <w:color w:val="70AD47" w:themeColor="accent6"/>
          <w:lang w:val="en-GB"/>
        </w:rPr>
        <w:t>EXAMPLE CALCULATION: Horizon Europe (HE) project (using the reporting period methodology)</w:t>
      </w:r>
    </w:p>
    <w:p w14:paraId="687B947E" w14:textId="77777777" w:rsidR="00AC05B0" w:rsidRPr="00CD40CE" w:rsidRDefault="00AC05B0" w:rsidP="00AC05B0">
      <w:pPr>
        <w:shd w:val="clear" w:color="auto" w:fill="FFFFFF" w:themeFill="background1"/>
        <w:rPr>
          <w:i/>
          <w:iCs/>
          <w:color w:val="70AD47" w:themeColor="accent6"/>
          <w:lang w:val="en-GB"/>
        </w:rPr>
      </w:pPr>
      <w:r w:rsidRPr="00CD40CE">
        <w:rPr>
          <w:i/>
          <w:iCs/>
          <w:color w:val="70AD47" w:themeColor="accent6"/>
          <w:lang w:val="en-GB"/>
        </w:rPr>
        <w:t>Reporting period: 01/01/2023 – 30/6/2024</w:t>
      </w:r>
    </w:p>
    <w:p w14:paraId="67FCA261" w14:textId="77777777" w:rsidR="00AC05B0" w:rsidRPr="00CD40CE" w:rsidRDefault="00AC05B0" w:rsidP="00AC05B0">
      <w:pPr>
        <w:shd w:val="clear" w:color="auto" w:fill="FFFFFF" w:themeFill="background1"/>
        <w:rPr>
          <w:i/>
          <w:iCs/>
          <w:color w:val="70AD47" w:themeColor="accent6"/>
          <w:lang w:val="en-GB"/>
        </w:rPr>
      </w:pPr>
      <w:r w:rsidRPr="00CD40CE">
        <w:rPr>
          <w:i/>
          <w:iCs/>
          <w:color w:val="70AD47" w:themeColor="accent6"/>
          <w:lang w:val="en-GB"/>
        </w:rPr>
        <w:t xml:space="preserve">1,0 FTE Employee A (principal investigator in the HE </w:t>
      </w:r>
      <w:proofErr w:type="gramStart"/>
      <w:r w:rsidRPr="00CD40CE">
        <w:rPr>
          <w:i/>
          <w:iCs/>
          <w:color w:val="70AD47" w:themeColor="accent6"/>
          <w:lang w:val="en-GB"/>
        </w:rPr>
        <w:t>project</w:t>
      </w:r>
      <w:proofErr w:type="gramEnd"/>
      <w:r w:rsidRPr="00CD40CE">
        <w:rPr>
          <w:color w:val="70AD47" w:themeColor="accent6"/>
          <w:lang w:val="en-GB"/>
        </w:rPr>
        <w:t xml:space="preserve">, working </w:t>
      </w:r>
      <w:r w:rsidRPr="00CD40CE">
        <w:rPr>
          <w:i/>
          <w:iCs/>
          <w:color w:val="70AD47" w:themeColor="accent6"/>
          <w:lang w:val="en-GB"/>
        </w:rPr>
        <w:t>at 50 % of his/her workload, representing 161,5 day-equivalents worked on the HE project in the respective reporting period)</w:t>
      </w:r>
    </w:p>
    <w:p w14:paraId="61EE3FB3" w14:textId="77777777" w:rsidR="00AC05B0" w:rsidRPr="00CD40CE" w:rsidRDefault="00AC05B0" w:rsidP="00AC05B0">
      <w:pPr>
        <w:shd w:val="clear" w:color="auto" w:fill="FFFFFF" w:themeFill="background1"/>
        <w:rPr>
          <w:i/>
          <w:iCs/>
          <w:color w:val="70AD47" w:themeColor="accent6"/>
          <w:lang w:val="en-GB"/>
        </w:rPr>
      </w:pPr>
      <w:r w:rsidRPr="00CD40CE">
        <w:rPr>
          <w:i/>
          <w:iCs/>
          <w:color w:val="70AD47" w:themeColor="accent6"/>
          <w:lang w:val="en-GB"/>
        </w:rPr>
        <w:t xml:space="preserve">01/01/2023 – 31/12/2023…. monthly salary 4 </w:t>
      </w:r>
      <w:proofErr w:type="gramStart"/>
      <w:r w:rsidRPr="00CD40CE">
        <w:rPr>
          <w:i/>
          <w:iCs/>
          <w:color w:val="70AD47" w:themeColor="accent6"/>
          <w:lang w:val="en-GB"/>
        </w:rPr>
        <w:t>600,-</w:t>
      </w:r>
      <w:proofErr w:type="gramEnd"/>
      <w:r w:rsidRPr="00CD40CE">
        <w:rPr>
          <w:i/>
          <w:iCs/>
          <w:color w:val="70AD47" w:themeColor="accent6"/>
          <w:lang w:val="en-GB"/>
        </w:rPr>
        <w:t xml:space="preserve"> consisting of:</w:t>
      </w:r>
    </w:p>
    <w:p w14:paraId="0C0E956A" w14:textId="77777777" w:rsidR="00AC05B0" w:rsidRPr="00CD40CE" w:rsidRDefault="00AC05B0" w:rsidP="00AC05B0">
      <w:pPr>
        <w:pStyle w:val="Odstavecseseznamem"/>
        <w:numPr>
          <w:ilvl w:val="0"/>
          <w:numId w:val="2"/>
        </w:numPr>
        <w:shd w:val="clear" w:color="auto" w:fill="FFFFFF" w:themeFill="background1"/>
        <w:rPr>
          <w:i/>
          <w:iCs/>
          <w:color w:val="70AD47" w:themeColor="accent6"/>
          <w:lang w:val="en-GB"/>
        </w:rPr>
      </w:pPr>
      <w:r w:rsidRPr="00CD40CE">
        <w:rPr>
          <w:i/>
          <w:iCs/>
          <w:color w:val="70AD47" w:themeColor="accent6"/>
          <w:lang w:val="en-GB"/>
        </w:rPr>
        <w:t>3 </w:t>
      </w:r>
      <w:proofErr w:type="gramStart"/>
      <w:r w:rsidRPr="00CD40CE">
        <w:rPr>
          <w:i/>
          <w:iCs/>
          <w:color w:val="70AD47" w:themeColor="accent6"/>
          <w:lang w:val="en-GB"/>
        </w:rPr>
        <w:t>000,-</w:t>
      </w:r>
      <w:proofErr w:type="gramEnd"/>
      <w:r w:rsidRPr="00CD40CE">
        <w:rPr>
          <w:i/>
          <w:iCs/>
          <w:color w:val="70AD47" w:themeColor="accent6"/>
          <w:lang w:val="en-GB"/>
        </w:rPr>
        <w:t xml:space="preserve"> euro tariff (identified in the employee's salary statement) </w:t>
      </w:r>
    </w:p>
    <w:p w14:paraId="2686BFC1" w14:textId="77777777" w:rsidR="00AC05B0" w:rsidRPr="00CD40CE" w:rsidRDefault="00AC05B0" w:rsidP="00AC05B0">
      <w:pPr>
        <w:pStyle w:val="Odstavecseseznamem"/>
        <w:numPr>
          <w:ilvl w:val="0"/>
          <w:numId w:val="2"/>
        </w:numPr>
        <w:shd w:val="clear" w:color="auto" w:fill="FFFFFF" w:themeFill="background1"/>
        <w:rPr>
          <w:i/>
          <w:iCs/>
          <w:color w:val="70AD47" w:themeColor="accent6"/>
          <w:lang w:val="en-GB"/>
        </w:rPr>
      </w:pPr>
      <w:r w:rsidRPr="00CD40CE">
        <w:rPr>
          <w:i/>
          <w:iCs/>
          <w:color w:val="70AD47" w:themeColor="accent6"/>
          <w:lang w:val="en-GB"/>
        </w:rPr>
        <w:t>1 </w:t>
      </w:r>
      <w:proofErr w:type="gramStart"/>
      <w:r w:rsidRPr="00CD40CE">
        <w:rPr>
          <w:i/>
          <w:iCs/>
          <w:color w:val="70AD47" w:themeColor="accent6"/>
          <w:lang w:val="en-GB"/>
        </w:rPr>
        <w:t>000,-</w:t>
      </w:r>
      <w:proofErr w:type="gramEnd"/>
      <w:r w:rsidRPr="00CD40CE">
        <w:rPr>
          <w:i/>
          <w:iCs/>
          <w:color w:val="70AD47" w:themeColor="accent6"/>
          <w:lang w:val="en-GB"/>
        </w:rPr>
        <w:t xml:space="preserve"> euro merit pay (identified in the employee's salary statement) </w:t>
      </w:r>
    </w:p>
    <w:p w14:paraId="1A770417" w14:textId="77777777" w:rsidR="00AC05B0" w:rsidRPr="00CD40CE" w:rsidRDefault="00AC05B0" w:rsidP="00AC05B0">
      <w:pPr>
        <w:pStyle w:val="Odstavecseseznamem"/>
        <w:numPr>
          <w:ilvl w:val="0"/>
          <w:numId w:val="2"/>
        </w:numPr>
        <w:shd w:val="clear" w:color="auto" w:fill="FFFFFF" w:themeFill="background1"/>
        <w:rPr>
          <w:i/>
          <w:iCs/>
          <w:color w:val="70AD47" w:themeColor="accent6"/>
          <w:lang w:val="en-GB"/>
        </w:rPr>
      </w:pPr>
      <w:proofErr w:type="gramStart"/>
      <w:r w:rsidRPr="00CD40CE">
        <w:rPr>
          <w:i/>
          <w:iCs/>
          <w:color w:val="70AD47" w:themeColor="accent6"/>
          <w:lang w:val="en-GB"/>
        </w:rPr>
        <w:t>600,-</w:t>
      </w:r>
      <w:proofErr w:type="gramEnd"/>
      <w:r w:rsidRPr="00CD40CE">
        <w:rPr>
          <w:i/>
          <w:iCs/>
          <w:color w:val="70AD47" w:themeColor="accent6"/>
          <w:lang w:val="en-GB"/>
        </w:rPr>
        <w:t xml:space="preserve"> euro project-based supplementary payments (based on this internal regulation – 30 % top up to salary identified in the employee's salary statement, reflecting 50 % workload)</w:t>
      </w:r>
    </w:p>
    <w:p w14:paraId="62E4A9F0" w14:textId="77777777" w:rsidR="00AC05B0" w:rsidRPr="00CD40CE" w:rsidRDefault="00AC05B0" w:rsidP="00AC05B0">
      <w:pPr>
        <w:shd w:val="clear" w:color="auto" w:fill="FFFFFF" w:themeFill="background1"/>
        <w:rPr>
          <w:i/>
          <w:iCs/>
          <w:color w:val="70AD47" w:themeColor="accent6"/>
          <w:lang w:val="en-GB"/>
        </w:rPr>
      </w:pPr>
      <w:r w:rsidRPr="00CD40CE">
        <w:rPr>
          <w:i/>
          <w:iCs/>
          <w:color w:val="70AD47" w:themeColor="accent6"/>
          <w:lang w:val="en-GB"/>
        </w:rPr>
        <w:t xml:space="preserve">01/01/2024 – 30/6/2024…. monthly salary 5 </w:t>
      </w:r>
      <w:proofErr w:type="gramStart"/>
      <w:r w:rsidRPr="00CD40CE">
        <w:rPr>
          <w:i/>
          <w:iCs/>
          <w:color w:val="70AD47" w:themeColor="accent6"/>
          <w:lang w:val="en-GB"/>
        </w:rPr>
        <w:t>750,-</w:t>
      </w:r>
      <w:proofErr w:type="gramEnd"/>
      <w:r w:rsidRPr="00CD40CE">
        <w:rPr>
          <w:i/>
          <w:iCs/>
          <w:color w:val="70AD47" w:themeColor="accent6"/>
          <w:lang w:val="en-GB"/>
        </w:rPr>
        <w:t xml:space="preserve"> consisting of:</w:t>
      </w:r>
    </w:p>
    <w:p w14:paraId="7958563E" w14:textId="77777777" w:rsidR="00AC05B0" w:rsidRPr="00CD40CE" w:rsidRDefault="00AC05B0" w:rsidP="00AC05B0">
      <w:pPr>
        <w:pStyle w:val="Odstavecseseznamem"/>
        <w:numPr>
          <w:ilvl w:val="0"/>
          <w:numId w:val="2"/>
        </w:numPr>
        <w:shd w:val="clear" w:color="auto" w:fill="FFFFFF" w:themeFill="background1"/>
        <w:rPr>
          <w:i/>
          <w:iCs/>
          <w:color w:val="70AD47" w:themeColor="accent6"/>
          <w:lang w:val="en-GB"/>
        </w:rPr>
      </w:pPr>
      <w:r w:rsidRPr="00CD40CE">
        <w:rPr>
          <w:i/>
          <w:iCs/>
          <w:color w:val="70AD47" w:themeColor="accent6"/>
          <w:lang w:val="en-GB"/>
        </w:rPr>
        <w:t>3 </w:t>
      </w:r>
      <w:proofErr w:type="gramStart"/>
      <w:r w:rsidRPr="00CD40CE">
        <w:rPr>
          <w:i/>
          <w:iCs/>
          <w:color w:val="70AD47" w:themeColor="accent6"/>
          <w:lang w:val="en-GB"/>
        </w:rPr>
        <w:t>000,-</w:t>
      </w:r>
      <w:proofErr w:type="gramEnd"/>
      <w:r w:rsidRPr="00CD40CE">
        <w:rPr>
          <w:i/>
          <w:iCs/>
          <w:color w:val="70AD47" w:themeColor="accent6"/>
          <w:lang w:val="en-GB"/>
        </w:rPr>
        <w:t xml:space="preserve"> euro tariff (identified in the employee's salary statement) </w:t>
      </w:r>
    </w:p>
    <w:p w14:paraId="4CF1849B" w14:textId="77777777" w:rsidR="00AC05B0" w:rsidRPr="00CD40CE" w:rsidRDefault="00AC05B0" w:rsidP="00AC05B0">
      <w:pPr>
        <w:pStyle w:val="Odstavecseseznamem"/>
        <w:numPr>
          <w:ilvl w:val="0"/>
          <w:numId w:val="2"/>
        </w:numPr>
        <w:shd w:val="clear" w:color="auto" w:fill="FFFFFF" w:themeFill="background1"/>
        <w:rPr>
          <w:i/>
          <w:iCs/>
          <w:color w:val="70AD47" w:themeColor="accent6"/>
          <w:lang w:val="en-GB"/>
        </w:rPr>
      </w:pPr>
      <w:r w:rsidRPr="00CD40CE">
        <w:rPr>
          <w:i/>
          <w:iCs/>
          <w:color w:val="70AD47" w:themeColor="accent6"/>
          <w:lang w:val="en-GB"/>
        </w:rPr>
        <w:t>2 </w:t>
      </w:r>
      <w:proofErr w:type="gramStart"/>
      <w:r w:rsidRPr="00CD40CE">
        <w:rPr>
          <w:i/>
          <w:iCs/>
          <w:color w:val="70AD47" w:themeColor="accent6"/>
          <w:lang w:val="en-GB"/>
        </w:rPr>
        <w:t>000,-</w:t>
      </w:r>
      <w:proofErr w:type="gramEnd"/>
      <w:r w:rsidRPr="00CD40CE">
        <w:rPr>
          <w:i/>
          <w:iCs/>
          <w:color w:val="70AD47" w:themeColor="accent6"/>
          <w:lang w:val="en-GB"/>
        </w:rPr>
        <w:t xml:space="preserve"> euro merit pay (identified in the employee's salary statement) </w:t>
      </w:r>
    </w:p>
    <w:p w14:paraId="6879005A" w14:textId="77777777" w:rsidR="00AC05B0" w:rsidRPr="00CD40CE" w:rsidRDefault="00AC05B0" w:rsidP="00AC05B0">
      <w:pPr>
        <w:pStyle w:val="Odstavecseseznamem"/>
        <w:numPr>
          <w:ilvl w:val="0"/>
          <w:numId w:val="2"/>
        </w:numPr>
        <w:shd w:val="clear" w:color="auto" w:fill="FFFFFF" w:themeFill="background1"/>
        <w:rPr>
          <w:b/>
          <w:bCs/>
          <w:color w:val="70AD47" w:themeColor="accent6"/>
          <w:lang w:val="en-GB"/>
        </w:rPr>
      </w:pPr>
      <w:proofErr w:type="gramStart"/>
      <w:r w:rsidRPr="00CD40CE">
        <w:rPr>
          <w:i/>
          <w:iCs/>
          <w:color w:val="70AD47" w:themeColor="accent6"/>
          <w:lang w:val="en-GB"/>
        </w:rPr>
        <w:t>750,-</w:t>
      </w:r>
      <w:proofErr w:type="gramEnd"/>
      <w:r w:rsidRPr="00CD40CE">
        <w:rPr>
          <w:i/>
          <w:iCs/>
          <w:color w:val="70AD47" w:themeColor="accent6"/>
          <w:lang w:val="en-GB"/>
        </w:rPr>
        <w:t xml:space="preserve"> euro project-based supplementary payments (based on this internal regulation – 30 % top up to salary identified in the employee's salary statement, reflecting 50 % workload)</w:t>
      </w:r>
    </w:p>
    <w:p w14:paraId="050F78EE" w14:textId="77777777" w:rsidR="00AC05B0" w:rsidRPr="00194330" w:rsidRDefault="00AC05B0" w:rsidP="00AC05B0">
      <w:pPr>
        <w:shd w:val="clear" w:color="auto" w:fill="FFFFFF" w:themeFill="background1"/>
        <w:rPr>
          <w:b/>
          <w:bCs/>
          <w:i/>
          <w:iCs/>
          <w:color w:val="70AD47" w:themeColor="accent6"/>
          <w:lang w:val="en-GB"/>
        </w:rPr>
      </w:pPr>
      <w:r w:rsidRPr="00194330">
        <w:rPr>
          <w:b/>
          <w:bCs/>
          <w:i/>
          <w:iCs/>
          <w:color w:val="70AD47" w:themeColor="accent6"/>
          <w:lang w:val="en-GB"/>
        </w:rPr>
        <w:t xml:space="preserve">Calculation of eligible personnel costs in the HE </w:t>
      </w:r>
      <w:proofErr w:type="gramStart"/>
      <w:r w:rsidRPr="00194330">
        <w:rPr>
          <w:b/>
          <w:bCs/>
          <w:i/>
          <w:iCs/>
          <w:color w:val="70AD47" w:themeColor="accent6"/>
          <w:lang w:val="en-GB"/>
        </w:rPr>
        <w:t>project</w:t>
      </w:r>
      <w:proofErr w:type="gramEnd"/>
      <w:r w:rsidRPr="00194330">
        <w:rPr>
          <w:b/>
          <w:bCs/>
          <w:i/>
          <w:iCs/>
          <w:color w:val="70AD47" w:themeColor="accent6"/>
          <w:lang w:val="en-GB"/>
        </w:rPr>
        <w:t>:</w:t>
      </w:r>
    </w:p>
    <w:p w14:paraId="3D9EFC15" w14:textId="77777777" w:rsidR="00AC05B0" w:rsidRPr="00194330" w:rsidRDefault="00AC05B0" w:rsidP="00AC05B0">
      <w:pPr>
        <w:shd w:val="clear" w:color="auto" w:fill="FFFFFF" w:themeFill="background1"/>
        <w:rPr>
          <w:i/>
          <w:iCs/>
          <w:lang w:val="en-GB"/>
        </w:rPr>
      </w:pPr>
      <w:r w:rsidRPr="00194330">
        <w:rPr>
          <w:i/>
          <w:iCs/>
          <w:noProof/>
          <w:lang w:val="en-GB"/>
        </w:rPr>
        <w:drawing>
          <wp:inline distT="0" distB="0" distL="0" distR="0" wp14:anchorId="2ACF926D" wp14:editId="78311FE2">
            <wp:extent cx="5438775" cy="1157658"/>
            <wp:effectExtent l="19050" t="19050" r="9525" b="23495"/>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1"/>
                    <a:stretch>
                      <a:fillRect/>
                    </a:stretch>
                  </pic:blipFill>
                  <pic:spPr>
                    <a:xfrm>
                      <a:off x="0" y="0"/>
                      <a:ext cx="5449778" cy="1160000"/>
                    </a:xfrm>
                    <a:prstGeom prst="rect">
                      <a:avLst/>
                    </a:prstGeom>
                    <a:ln>
                      <a:solidFill>
                        <a:schemeClr val="accent6"/>
                      </a:solidFill>
                    </a:ln>
                  </pic:spPr>
                </pic:pic>
              </a:graphicData>
            </a:graphic>
          </wp:inline>
        </w:drawing>
      </w:r>
    </w:p>
    <w:p w14:paraId="17397F42" w14:textId="77777777" w:rsidR="00AC05B0" w:rsidRPr="00194330" w:rsidRDefault="00AC05B0" w:rsidP="00AC05B0">
      <w:pPr>
        <w:shd w:val="clear" w:color="auto" w:fill="FFFFFF" w:themeFill="background1"/>
        <w:rPr>
          <w:i/>
          <w:iCs/>
          <w:color w:val="6FAC47"/>
          <w:lang w:val="en-GB"/>
        </w:rPr>
      </w:pPr>
      <w:r w:rsidRPr="00194330">
        <w:rPr>
          <w:i/>
          <w:iCs/>
          <w:color w:val="6FAC47"/>
          <w:lang w:val="en-GB"/>
        </w:rPr>
        <w:t xml:space="preserve">Actual personnel costs for work on the action = (4 000 * 0,5 + 600) * 12 + (5 000 </w:t>
      </w:r>
      <w:r w:rsidRPr="00194330">
        <w:rPr>
          <w:i/>
          <w:iCs/>
          <w:color w:val="70AD47" w:themeColor="accent6"/>
          <w:lang w:val="en-GB"/>
        </w:rPr>
        <w:t xml:space="preserve">* 0,5 + 750) * 6 = </w:t>
      </w:r>
      <w:r w:rsidRPr="00194330">
        <w:rPr>
          <w:i/>
          <w:iCs/>
          <w:color w:val="6FAC47"/>
          <w:lang w:val="en-GB"/>
        </w:rPr>
        <w:t>31 200 + 19 500 = 50 700</w:t>
      </w:r>
    </w:p>
    <w:p w14:paraId="13D3C159" w14:textId="77777777" w:rsidR="00AC05B0" w:rsidRPr="00194330" w:rsidRDefault="00AC05B0" w:rsidP="00AC05B0">
      <w:pPr>
        <w:shd w:val="clear" w:color="auto" w:fill="FFFFFF" w:themeFill="background1"/>
        <w:rPr>
          <w:i/>
          <w:iCs/>
          <w:color w:val="6FAC47"/>
          <w:lang w:val="en-GB"/>
        </w:rPr>
      </w:pPr>
      <w:r w:rsidRPr="00194330">
        <w:rPr>
          <w:i/>
          <w:iCs/>
          <w:color w:val="6FAC47"/>
          <w:lang w:val="en-GB"/>
        </w:rPr>
        <w:t>Day-equivalents worked by the person on the action (see declaration/timesheets and round it to the nearest half-day) = 161,5</w:t>
      </w:r>
    </w:p>
    <w:p w14:paraId="3DAD39EA" w14:textId="77777777" w:rsidR="00AC05B0" w:rsidRPr="00194330" w:rsidRDefault="00AC05B0" w:rsidP="00AC05B0">
      <w:pPr>
        <w:shd w:val="clear" w:color="auto" w:fill="FFFFFF" w:themeFill="background1"/>
        <w:rPr>
          <w:i/>
          <w:iCs/>
          <w:color w:val="70AD47" w:themeColor="accent6"/>
          <w:lang w:val="en-GB"/>
        </w:rPr>
      </w:pPr>
      <w:r w:rsidRPr="00194330">
        <w:rPr>
          <w:i/>
          <w:iCs/>
          <w:color w:val="6FAC47"/>
          <w:lang w:val="en-GB"/>
        </w:rPr>
        <w:t>Action daily rate = 50 700 / 161,5 = 313,931</w:t>
      </w:r>
    </w:p>
    <w:p w14:paraId="3993A3E5" w14:textId="77777777" w:rsidR="00AC05B0" w:rsidRDefault="00AC05B0" w:rsidP="00AC05B0">
      <w:pPr>
        <w:shd w:val="clear" w:color="auto" w:fill="FFFFFF" w:themeFill="background1"/>
        <w:rPr>
          <w:i/>
          <w:iCs/>
          <w:lang w:val="en-GB"/>
        </w:rPr>
      </w:pPr>
      <w:r w:rsidRPr="00194330">
        <w:rPr>
          <w:i/>
          <w:iCs/>
          <w:noProof/>
          <w:lang w:val="en-GB"/>
        </w:rPr>
        <w:lastRenderedPageBreak/>
        <w:drawing>
          <wp:inline distT="0" distB="0" distL="0" distR="0" wp14:anchorId="0FA11B76" wp14:editId="32A7492C">
            <wp:extent cx="5438775" cy="708623"/>
            <wp:effectExtent l="19050" t="19050" r="9525" b="15875"/>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12"/>
                    <a:stretch>
                      <a:fillRect/>
                    </a:stretch>
                  </pic:blipFill>
                  <pic:spPr>
                    <a:xfrm>
                      <a:off x="0" y="0"/>
                      <a:ext cx="5462212" cy="711677"/>
                    </a:xfrm>
                    <a:prstGeom prst="rect">
                      <a:avLst/>
                    </a:prstGeom>
                    <a:ln>
                      <a:solidFill>
                        <a:schemeClr val="accent6"/>
                      </a:solidFill>
                    </a:ln>
                  </pic:spPr>
                </pic:pic>
              </a:graphicData>
            </a:graphic>
          </wp:inline>
        </w:drawing>
      </w:r>
    </w:p>
    <w:p w14:paraId="47C100E1" w14:textId="45597A43" w:rsidR="001203D1" w:rsidRPr="00123770" w:rsidRDefault="001203D1" w:rsidP="00AC05B0">
      <w:pPr>
        <w:shd w:val="clear" w:color="auto" w:fill="FFFFFF" w:themeFill="background1"/>
        <w:rPr>
          <w:i/>
          <w:iCs/>
          <w:color w:val="70AD47" w:themeColor="accent6"/>
          <w:lang w:val="en-GB"/>
        </w:rPr>
      </w:pPr>
      <w:r w:rsidRPr="00123770">
        <w:rPr>
          <w:b/>
          <w:bCs/>
          <w:i/>
          <w:iCs/>
          <w:color w:val="70AD47" w:themeColor="accent6"/>
          <w:lang w:val="en-GB"/>
        </w:rPr>
        <w:t>Option 2:</w:t>
      </w:r>
      <w:r w:rsidRPr="00123770">
        <w:rPr>
          <w:i/>
          <w:iCs/>
          <w:color w:val="70AD47" w:themeColor="accent6"/>
          <w:lang w:val="en-GB"/>
        </w:rPr>
        <w:t xml:space="preserve"> The national project daily rate must be calculated based on the formula identified in the Annotated Model Grant Agreement</w:t>
      </w:r>
    </w:p>
    <w:p w14:paraId="70035285" w14:textId="77777777" w:rsidR="00AC05B0" w:rsidRPr="00194330" w:rsidRDefault="00AC05B0" w:rsidP="00AC05B0">
      <w:pPr>
        <w:shd w:val="clear" w:color="auto" w:fill="FFFFFF" w:themeFill="background1"/>
        <w:rPr>
          <w:i/>
          <w:iCs/>
          <w:lang w:val="en-GB"/>
        </w:rPr>
      </w:pPr>
      <w:r w:rsidRPr="00194330">
        <w:rPr>
          <w:i/>
          <w:iCs/>
          <w:noProof/>
          <w:lang w:val="en-GB"/>
        </w:rPr>
        <w:drawing>
          <wp:inline distT="0" distB="0" distL="0" distR="0" wp14:anchorId="56AEE584" wp14:editId="0EA7CC34">
            <wp:extent cx="5438775" cy="1020370"/>
            <wp:effectExtent l="19050" t="19050" r="9525" b="2794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3"/>
                    <a:stretch>
                      <a:fillRect/>
                    </a:stretch>
                  </pic:blipFill>
                  <pic:spPr>
                    <a:xfrm>
                      <a:off x="0" y="0"/>
                      <a:ext cx="5450775" cy="1022621"/>
                    </a:xfrm>
                    <a:prstGeom prst="rect">
                      <a:avLst/>
                    </a:prstGeom>
                    <a:ln>
                      <a:solidFill>
                        <a:schemeClr val="accent6"/>
                      </a:solidFill>
                    </a:ln>
                  </pic:spPr>
                </pic:pic>
              </a:graphicData>
            </a:graphic>
          </wp:inline>
        </w:drawing>
      </w:r>
    </w:p>
    <w:p w14:paraId="4A819959" w14:textId="77777777" w:rsidR="00AC05B0" w:rsidRPr="00194330" w:rsidRDefault="00AC05B0" w:rsidP="001203D1">
      <w:pPr>
        <w:shd w:val="clear" w:color="auto" w:fill="FFFFFF" w:themeFill="background1"/>
        <w:ind w:left="709"/>
        <w:rPr>
          <w:i/>
          <w:iCs/>
          <w:color w:val="6FAC47"/>
          <w:lang w:val="en-GB"/>
        </w:rPr>
      </w:pPr>
      <w:r w:rsidRPr="00194330">
        <w:rPr>
          <w:i/>
          <w:iCs/>
          <w:color w:val="6FAC47"/>
          <w:lang w:val="en-GB"/>
        </w:rPr>
        <w:t>Theoretical personnel costs for similar work in a national project = (4 000 + 1 200)] * 12 + (5 000 + 1 500) * 6 = 62 400 + 39 000 = 101 400</w:t>
      </w:r>
    </w:p>
    <w:p w14:paraId="68E4CDDC" w14:textId="77777777" w:rsidR="00AC05B0" w:rsidRPr="00194330" w:rsidRDefault="00AC05B0" w:rsidP="00886313">
      <w:pPr>
        <w:shd w:val="clear" w:color="auto" w:fill="FFFFFF" w:themeFill="background1"/>
        <w:ind w:left="709"/>
        <w:rPr>
          <w:i/>
          <w:iCs/>
          <w:color w:val="6FAC47"/>
          <w:lang w:val="en-GB"/>
        </w:rPr>
      </w:pPr>
      <w:r w:rsidRPr="00194330">
        <w:rPr>
          <w:i/>
          <w:iCs/>
          <w:color w:val="6FAC47"/>
          <w:lang w:val="en-GB"/>
        </w:rPr>
        <w:t>Maximum declarable day-equivalents for the reporting period = (215/12)</w:t>
      </w:r>
      <w:r>
        <w:rPr>
          <w:i/>
          <w:iCs/>
          <w:color w:val="6FAC47"/>
          <w:lang w:val="en-GB"/>
        </w:rPr>
        <w:t xml:space="preserve"> </w:t>
      </w:r>
      <w:r w:rsidRPr="00194330">
        <w:rPr>
          <w:i/>
          <w:iCs/>
          <w:color w:val="6FAC47"/>
          <w:lang w:val="en-GB"/>
        </w:rPr>
        <w:t>*</w:t>
      </w:r>
      <w:r>
        <w:rPr>
          <w:i/>
          <w:iCs/>
          <w:color w:val="6FAC47"/>
          <w:lang w:val="en-GB"/>
        </w:rPr>
        <w:t xml:space="preserve"> </w:t>
      </w:r>
      <w:r w:rsidRPr="00194330">
        <w:rPr>
          <w:i/>
          <w:iCs/>
          <w:color w:val="6FAC47"/>
          <w:lang w:val="en-GB"/>
        </w:rPr>
        <w:t>18 = 322,5 (</w:t>
      </w:r>
      <w:r>
        <w:rPr>
          <w:i/>
          <w:iCs/>
          <w:color w:val="6FAC47"/>
          <w:lang w:val="en-GB"/>
        </w:rPr>
        <w:t xml:space="preserve">already </w:t>
      </w:r>
      <w:r w:rsidRPr="00194330">
        <w:rPr>
          <w:i/>
          <w:iCs/>
          <w:color w:val="6FAC47"/>
          <w:lang w:val="en-GB"/>
        </w:rPr>
        <w:t>rounded to the nearest half-day)</w:t>
      </w:r>
    </w:p>
    <w:p w14:paraId="2CBA6BA8" w14:textId="77777777" w:rsidR="00AC05B0" w:rsidRPr="00194330" w:rsidRDefault="00AC05B0" w:rsidP="00886313">
      <w:pPr>
        <w:shd w:val="clear" w:color="auto" w:fill="FFFFFF" w:themeFill="background1"/>
        <w:ind w:left="709"/>
        <w:rPr>
          <w:i/>
          <w:iCs/>
          <w:color w:val="6FAC47"/>
          <w:lang w:val="en-GB"/>
        </w:rPr>
      </w:pPr>
      <w:r w:rsidRPr="00194330">
        <w:rPr>
          <w:i/>
          <w:iCs/>
          <w:color w:val="6FAC47"/>
          <w:lang w:val="en-GB"/>
        </w:rPr>
        <w:t>Theoretical national daily rate = 101 400 / 322,5 = 314,419</w:t>
      </w:r>
    </w:p>
    <w:p w14:paraId="06C0D3BE" w14:textId="77777777" w:rsidR="00AC05B0" w:rsidRPr="00194330" w:rsidRDefault="00AC05B0" w:rsidP="00AC05B0">
      <w:pPr>
        <w:shd w:val="clear" w:color="auto" w:fill="FFFFFF" w:themeFill="background1"/>
        <w:rPr>
          <w:i/>
          <w:iCs/>
          <w:color w:val="70AD47" w:themeColor="accent6"/>
          <w:lang w:val="en-GB"/>
        </w:rPr>
      </w:pPr>
      <w:r w:rsidRPr="00194330">
        <w:rPr>
          <w:i/>
          <w:iCs/>
          <w:noProof/>
        </w:rPr>
        <w:drawing>
          <wp:inline distT="0" distB="0" distL="0" distR="0" wp14:anchorId="565192CC" wp14:editId="127986E3">
            <wp:extent cx="4429125" cy="2022634"/>
            <wp:effectExtent l="19050" t="19050" r="9525" b="15875"/>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4"/>
                    <a:stretch>
                      <a:fillRect/>
                    </a:stretch>
                  </pic:blipFill>
                  <pic:spPr>
                    <a:xfrm>
                      <a:off x="0" y="0"/>
                      <a:ext cx="4465194" cy="2039105"/>
                    </a:xfrm>
                    <a:prstGeom prst="rect">
                      <a:avLst/>
                    </a:prstGeom>
                    <a:ln>
                      <a:solidFill>
                        <a:schemeClr val="accent6"/>
                      </a:solidFill>
                    </a:ln>
                  </pic:spPr>
                </pic:pic>
              </a:graphicData>
            </a:graphic>
          </wp:inline>
        </w:drawing>
      </w:r>
    </w:p>
    <w:p w14:paraId="2E87CCFB" w14:textId="77777777" w:rsidR="00AC05B0" w:rsidRPr="00194330" w:rsidRDefault="00AC05B0" w:rsidP="00AC05B0">
      <w:pPr>
        <w:shd w:val="clear" w:color="auto" w:fill="FFFFFF" w:themeFill="background1"/>
        <w:rPr>
          <w:i/>
          <w:iCs/>
          <w:color w:val="70AD47" w:themeColor="accent6"/>
          <w:lang w:val="en-GB"/>
        </w:rPr>
      </w:pPr>
      <w:r>
        <w:rPr>
          <w:i/>
          <w:iCs/>
          <w:color w:val="70AD47" w:themeColor="accent6"/>
          <w:lang w:val="en-GB"/>
        </w:rPr>
        <w:t>Eligible p</w:t>
      </w:r>
      <w:r w:rsidRPr="00194330">
        <w:rPr>
          <w:i/>
          <w:iCs/>
          <w:color w:val="70AD47" w:themeColor="accent6"/>
          <w:lang w:val="en-GB"/>
        </w:rPr>
        <w:t xml:space="preserve">ersonnel costs = </w:t>
      </w:r>
      <w:r w:rsidRPr="00194330">
        <w:rPr>
          <w:i/>
          <w:iCs/>
          <w:color w:val="6FAC47"/>
          <w:lang w:val="en-GB"/>
        </w:rPr>
        <w:t xml:space="preserve">161,5 </w:t>
      </w:r>
      <w:r w:rsidRPr="00194330">
        <w:rPr>
          <w:i/>
          <w:iCs/>
          <w:color w:val="70AD47" w:themeColor="accent6"/>
          <w:lang w:val="en-GB"/>
        </w:rPr>
        <w:t>*</w:t>
      </w:r>
      <w:r w:rsidRPr="00194330">
        <w:rPr>
          <w:i/>
          <w:iCs/>
          <w:color w:val="6FAC47"/>
          <w:lang w:val="en-GB"/>
        </w:rPr>
        <w:t>313,931</w:t>
      </w:r>
      <w:r w:rsidRPr="00194330">
        <w:rPr>
          <w:i/>
          <w:iCs/>
          <w:color w:val="70AD47" w:themeColor="accent6"/>
          <w:lang w:val="en-GB"/>
        </w:rPr>
        <w:t>= 50 700 EUR</w:t>
      </w:r>
    </w:p>
    <w:p w14:paraId="6AC34B45" w14:textId="77777777" w:rsidR="00AC05B0" w:rsidRPr="00E47890" w:rsidRDefault="00AC05B0" w:rsidP="00167A7B">
      <w:pPr>
        <w:shd w:val="clear" w:color="auto" w:fill="FFFFFF" w:themeFill="background1"/>
        <w:rPr>
          <w:lang w:val="en-GB"/>
        </w:rPr>
      </w:pPr>
    </w:p>
    <w:p w14:paraId="18CBA905" w14:textId="2DF88A34" w:rsidR="00291C03" w:rsidRPr="00194330" w:rsidRDefault="008A59B9" w:rsidP="00167A7B">
      <w:pPr>
        <w:shd w:val="clear" w:color="auto" w:fill="FFFFFF" w:themeFill="background1"/>
        <w:rPr>
          <w:b/>
          <w:bCs/>
          <w:color w:val="70AD47" w:themeColor="accent6"/>
          <w:lang w:val="en-GB"/>
        </w:rPr>
      </w:pPr>
      <w:r w:rsidRPr="00194330">
        <w:rPr>
          <w:b/>
          <w:bCs/>
          <w:color w:val="70AD47" w:themeColor="accent6"/>
          <w:lang w:val="en-GB"/>
        </w:rPr>
        <w:t>EXAMPLE 2</w:t>
      </w:r>
    </w:p>
    <w:p w14:paraId="1848CC67" w14:textId="77777777" w:rsidR="00956771" w:rsidRPr="00E47890" w:rsidRDefault="00956771" w:rsidP="00956771">
      <w:pPr>
        <w:shd w:val="clear" w:color="auto" w:fill="E2EFD9" w:themeFill="accent6" w:themeFillTint="33"/>
        <w:jc w:val="center"/>
        <w:rPr>
          <w:b/>
          <w:bCs/>
          <w:sz w:val="24"/>
          <w:szCs w:val="24"/>
          <w:lang w:val="en-GB"/>
        </w:rPr>
      </w:pPr>
    </w:p>
    <w:p w14:paraId="3BD63AC6" w14:textId="77777777" w:rsidR="00956771" w:rsidRPr="00E47890" w:rsidRDefault="00956771" w:rsidP="00956771">
      <w:pPr>
        <w:shd w:val="clear" w:color="auto" w:fill="E2EFD9" w:themeFill="accent6" w:themeFillTint="33"/>
        <w:jc w:val="center"/>
        <w:rPr>
          <w:b/>
          <w:bCs/>
          <w:sz w:val="24"/>
          <w:szCs w:val="24"/>
          <w:lang w:val="en-GB"/>
        </w:rPr>
      </w:pPr>
      <w:r w:rsidRPr="00E47890">
        <w:rPr>
          <w:b/>
          <w:bCs/>
          <w:sz w:val="24"/>
          <w:szCs w:val="24"/>
          <w:lang w:val="en-GB"/>
        </w:rPr>
        <w:t>Written internal regulation for project-based supplementary payments</w:t>
      </w:r>
    </w:p>
    <w:p w14:paraId="24998FFA" w14:textId="77777777" w:rsidR="00956771" w:rsidRPr="00E47890" w:rsidRDefault="00956771" w:rsidP="00956771">
      <w:pPr>
        <w:shd w:val="clear" w:color="auto" w:fill="E2EFD9" w:themeFill="accent6" w:themeFillTint="33"/>
        <w:jc w:val="center"/>
        <w:rPr>
          <w:rFonts w:ascii="Calibri" w:eastAsia="Calibri" w:hAnsi="Calibri" w:cs="Calibri"/>
          <w:lang w:val="en-GB"/>
        </w:rPr>
      </w:pPr>
      <w:r w:rsidRPr="00E47890">
        <w:rPr>
          <w:rFonts w:ascii="Calibri" w:eastAsia="Calibri" w:hAnsi="Calibri" w:cs="Calibri"/>
          <w:lang w:val="en-GB"/>
        </w:rPr>
        <w:t>methodological guidance of the Dean</w:t>
      </w:r>
    </w:p>
    <w:p w14:paraId="32353FB0" w14:textId="77777777" w:rsidR="00956771" w:rsidRPr="00E47890" w:rsidRDefault="00956771" w:rsidP="00956771">
      <w:pPr>
        <w:shd w:val="clear" w:color="auto" w:fill="E2EFD9" w:themeFill="accent6" w:themeFillTint="33"/>
        <w:jc w:val="center"/>
        <w:rPr>
          <w:rFonts w:cstheme="minorHAnsi"/>
          <w:lang w:val="en-GB"/>
        </w:rPr>
      </w:pPr>
      <w:r w:rsidRPr="00E47890">
        <w:rPr>
          <w:rFonts w:cstheme="minorHAnsi"/>
          <w:lang w:val="en-GB"/>
        </w:rPr>
        <w:t>Faculty of Physics, University Prague</w:t>
      </w:r>
    </w:p>
    <w:p w14:paraId="3FD922EC" w14:textId="77777777" w:rsidR="00956771" w:rsidRPr="00E47890" w:rsidRDefault="00956771" w:rsidP="00956771">
      <w:pPr>
        <w:shd w:val="clear" w:color="auto" w:fill="E2EFD9" w:themeFill="accent6" w:themeFillTint="33"/>
        <w:jc w:val="center"/>
        <w:rPr>
          <w:rFonts w:cstheme="minorHAnsi"/>
          <w:lang w:val="en-GB"/>
        </w:rPr>
      </w:pPr>
      <w:r w:rsidRPr="00E47890">
        <w:rPr>
          <w:rFonts w:cstheme="minorHAnsi"/>
          <w:lang w:val="en-GB"/>
        </w:rPr>
        <w:t>Effective for new relevant projects from 1.1.2024</w:t>
      </w:r>
    </w:p>
    <w:p w14:paraId="41EDA4F4" w14:textId="3EA4600B" w:rsidR="008A59B9" w:rsidRDefault="00956771" w:rsidP="21C25253">
      <w:pPr>
        <w:shd w:val="clear" w:color="auto" w:fill="E2EFD9" w:themeFill="accent6" w:themeFillTint="33"/>
        <w:rPr>
          <w:lang w:val="en-GB"/>
        </w:rPr>
      </w:pPr>
      <w:r w:rsidRPr="21C25253">
        <w:rPr>
          <w:lang w:val="en-GB"/>
        </w:rPr>
        <w:t xml:space="preserve">For the time worked </w:t>
      </w:r>
      <w:r w:rsidR="008A59B9" w:rsidRPr="21C25253">
        <w:rPr>
          <w:lang w:val="en-GB"/>
        </w:rPr>
        <w:t xml:space="preserve">on </w:t>
      </w:r>
      <w:r w:rsidR="2D527D36" w:rsidRPr="21C25253">
        <w:rPr>
          <w:rFonts w:ascii="Calibri" w:eastAsia="Calibri" w:hAnsi="Calibri" w:cs="Calibri"/>
          <w:b/>
          <w:bCs/>
          <w:color w:val="000000" w:themeColor="text1"/>
          <w:lang w:val="en-GB"/>
        </w:rPr>
        <w:t xml:space="preserve">excellent </w:t>
      </w:r>
      <w:r w:rsidRPr="00886313">
        <w:rPr>
          <w:rFonts w:ascii="Calibri" w:eastAsia="Calibri" w:hAnsi="Calibri" w:cs="Calibri"/>
          <w:b/>
          <w:bCs/>
          <w:lang w:val="en-GB"/>
        </w:rPr>
        <w:t>research and innovation</w:t>
      </w:r>
      <w:r w:rsidRPr="21C25253">
        <w:rPr>
          <w:rFonts w:ascii="Calibri" w:eastAsia="Calibri" w:hAnsi="Calibri" w:cs="Calibri"/>
          <w:lang w:val="en-GB"/>
        </w:rPr>
        <w:t xml:space="preserve"> projects </w:t>
      </w:r>
      <w:r w:rsidRPr="21C25253">
        <w:rPr>
          <w:lang w:val="en-GB"/>
        </w:rPr>
        <w:t xml:space="preserve">financed from </w:t>
      </w:r>
      <w:r w:rsidR="367E4F90" w:rsidRPr="21C25253">
        <w:rPr>
          <w:lang w:val="en-GB"/>
        </w:rPr>
        <w:t xml:space="preserve">the following </w:t>
      </w:r>
      <w:r w:rsidRPr="21C25253">
        <w:rPr>
          <w:lang w:val="en-GB"/>
        </w:rPr>
        <w:t>external sources (national and foreign</w:t>
      </w:r>
      <w:r w:rsidR="0079172E" w:rsidRPr="21C25253">
        <w:rPr>
          <w:lang w:val="en-GB"/>
        </w:rPr>
        <w:t>)</w:t>
      </w:r>
      <w:r w:rsidR="008A59B9" w:rsidRPr="21C25253">
        <w:rPr>
          <w:lang w:val="en-GB"/>
        </w:rPr>
        <w:t>:</w:t>
      </w:r>
    </w:p>
    <w:p w14:paraId="60D443A2" w14:textId="619AE6D2" w:rsidR="0097241B" w:rsidRPr="0097241B" w:rsidRDefault="0097241B" w:rsidP="00976103">
      <w:pPr>
        <w:shd w:val="clear" w:color="auto" w:fill="E2EFD9" w:themeFill="accent6" w:themeFillTint="33"/>
        <w:rPr>
          <w:lang w:val="en-GB"/>
        </w:rPr>
      </w:pPr>
    </w:p>
    <w:p w14:paraId="571E1419" w14:textId="2862110A" w:rsidR="0097241B" w:rsidRDefault="0097241B" w:rsidP="00E56D0F">
      <w:pPr>
        <w:pStyle w:val="Odstavecseseznamem"/>
        <w:numPr>
          <w:ilvl w:val="0"/>
          <w:numId w:val="5"/>
        </w:numPr>
        <w:shd w:val="clear" w:color="auto" w:fill="E2EFD9" w:themeFill="accent6" w:themeFillTint="33"/>
        <w:rPr>
          <w:lang w:val="en-GB"/>
        </w:rPr>
      </w:pPr>
      <w:r>
        <w:rPr>
          <w:lang w:val="en-GB"/>
        </w:rPr>
        <w:t>EU Programme Horizon Europe</w:t>
      </w:r>
    </w:p>
    <w:p w14:paraId="37F5F8DF" w14:textId="77777777" w:rsidR="0097241B" w:rsidRPr="00E11810" w:rsidRDefault="0097241B" w:rsidP="0097241B">
      <w:pPr>
        <w:pStyle w:val="Odstavecseseznamem"/>
        <w:numPr>
          <w:ilvl w:val="0"/>
          <w:numId w:val="5"/>
        </w:numPr>
        <w:shd w:val="clear" w:color="auto" w:fill="E2EFD9" w:themeFill="accent6" w:themeFillTint="33"/>
        <w:rPr>
          <w:lang w:val="en-GB"/>
        </w:rPr>
      </w:pPr>
      <w:r w:rsidRPr="00E11810">
        <w:rPr>
          <w:lang w:val="en-GB"/>
        </w:rPr>
        <w:lastRenderedPageBreak/>
        <w:t>Czech Science Foundation JUNIOR STAR</w:t>
      </w:r>
    </w:p>
    <w:p w14:paraId="72594B2A" w14:textId="77777777" w:rsidR="0097241B" w:rsidRPr="00E11810" w:rsidRDefault="0097241B" w:rsidP="0097241B">
      <w:pPr>
        <w:pStyle w:val="Odstavecseseznamem"/>
        <w:numPr>
          <w:ilvl w:val="0"/>
          <w:numId w:val="5"/>
        </w:numPr>
        <w:shd w:val="clear" w:color="auto" w:fill="E2EFD9" w:themeFill="accent6" w:themeFillTint="33"/>
        <w:rPr>
          <w:lang w:val="en-GB"/>
        </w:rPr>
      </w:pPr>
      <w:r w:rsidRPr="00E11810">
        <w:rPr>
          <w:lang w:val="en-GB"/>
        </w:rPr>
        <w:t xml:space="preserve">Czech Science Foundation EXPRO </w:t>
      </w:r>
    </w:p>
    <w:p w14:paraId="66A58763" w14:textId="77777777" w:rsidR="0097241B" w:rsidRPr="00E11810" w:rsidRDefault="0097241B" w:rsidP="0097241B">
      <w:pPr>
        <w:pStyle w:val="Odstavecseseznamem"/>
        <w:numPr>
          <w:ilvl w:val="0"/>
          <w:numId w:val="5"/>
        </w:numPr>
        <w:shd w:val="clear" w:color="auto" w:fill="E2EFD9" w:themeFill="accent6" w:themeFillTint="33"/>
        <w:rPr>
          <w:lang w:val="en-GB"/>
        </w:rPr>
      </w:pPr>
      <w:r w:rsidRPr="00E11810">
        <w:rPr>
          <w:lang w:val="en-GB"/>
        </w:rPr>
        <w:t>Technology Agency of the Czech Republic - NATIONAL CENTRES OF COMPETENCE</w:t>
      </w:r>
    </w:p>
    <w:p w14:paraId="7747C7FD" w14:textId="77777777" w:rsidR="0097241B" w:rsidRPr="00E11810" w:rsidRDefault="0097241B" w:rsidP="0097241B">
      <w:pPr>
        <w:pStyle w:val="Odstavecseseznamem"/>
        <w:numPr>
          <w:ilvl w:val="0"/>
          <w:numId w:val="5"/>
        </w:numPr>
        <w:shd w:val="clear" w:color="auto" w:fill="E2EFD9" w:themeFill="accent6" w:themeFillTint="33"/>
        <w:rPr>
          <w:lang w:val="en-GB"/>
        </w:rPr>
      </w:pPr>
      <w:r w:rsidRPr="00E11810">
        <w:rPr>
          <w:lang w:val="en-GB"/>
        </w:rPr>
        <w:t>Ministry of Education, Youth and Sports - ERC CZ</w:t>
      </w:r>
    </w:p>
    <w:p w14:paraId="6E4C1B2A" w14:textId="3BDA0055" w:rsidR="0079172E" w:rsidRDefault="0097241B" w:rsidP="0097241B">
      <w:pPr>
        <w:pStyle w:val="Odstavecseseznamem"/>
        <w:numPr>
          <w:ilvl w:val="0"/>
          <w:numId w:val="5"/>
        </w:numPr>
        <w:shd w:val="clear" w:color="auto" w:fill="E2EFD9" w:themeFill="accent6" w:themeFillTint="33"/>
        <w:rPr>
          <w:lang w:val="en-GB"/>
        </w:rPr>
      </w:pPr>
      <w:r w:rsidRPr="00E11810">
        <w:rPr>
          <w:lang w:val="en-GB"/>
        </w:rPr>
        <w:t>Ministry of Education, Youth and Sports - Johannes Amos Comenius Programme (P JAC)</w:t>
      </w:r>
      <w:r w:rsidR="00F826D6">
        <w:rPr>
          <w:lang w:val="en-GB"/>
        </w:rPr>
        <w:t xml:space="preserve"> </w:t>
      </w:r>
      <w:r w:rsidR="00F826D6" w:rsidRPr="00E11810">
        <w:rPr>
          <w:lang w:val="en-GB"/>
        </w:rPr>
        <w:t>-</w:t>
      </w:r>
      <w:r w:rsidR="00F826D6">
        <w:rPr>
          <w:lang w:val="en-GB"/>
        </w:rPr>
        <w:t xml:space="preserve"> </w:t>
      </w:r>
      <w:r w:rsidR="00FC736B" w:rsidRPr="00E250C9">
        <w:rPr>
          <w:lang w:val="en-GB"/>
        </w:rPr>
        <w:t>SO 1.1</w:t>
      </w:r>
      <w:r w:rsidR="00FC736B">
        <w:rPr>
          <w:lang w:val="en-GB"/>
        </w:rPr>
        <w:t xml:space="preserve"> </w:t>
      </w:r>
    </w:p>
    <w:p w14:paraId="78BB1690" w14:textId="5741DDB0" w:rsidR="0079172E" w:rsidRPr="00E11810" w:rsidRDefault="0079172E" w:rsidP="0079172E">
      <w:pPr>
        <w:pStyle w:val="Odstavecseseznamem"/>
        <w:numPr>
          <w:ilvl w:val="0"/>
          <w:numId w:val="5"/>
        </w:numPr>
        <w:shd w:val="clear" w:color="auto" w:fill="E2EFD9" w:themeFill="accent6" w:themeFillTint="33"/>
        <w:rPr>
          <w:lang w:val="en-GB"/>
        </w:rPr>
      </w:pPr>
      <w:r>
        <w:rPr>
          <w:lang w:val="en-GB"/>
        </w:rPr>
        <w:t xml:space="preserve">Other funding schemes </w:t>
      </w:r>
      <w:r w:rsidRPr="005E3628">
        <w:rPr>
          <w:lang w:val="en-GB"/>
        </w:rPr>
        <w:t xml:space="preserve">which, according to the call text, support excellence in research </w:t>
      </w:r>
    </w:p>
    <w:p w14:paraId="081D855D" w14:textId="16529BD7" w:rsidR="00956771" w:rsidRPr="00E47890" w:rsidRDefault="0079172E" w:rsidP="00956771">
      <w:pPr>
        <w:shd w:val="clear" w:color="auto" w:fill="E2EFD9" w:themeFill="accent6" w:themeFillTint="33"/>
        <w:rPr>
          <w:lang w:val="en-GB"/>
        </w:rPr>
      </w:pPr>
      <w:r>
        <w:rPr>
          <w:lang w:val="en-GB"/>
        </w:rPr>
        <w:t>e</w:t>
      </w:r>
      <w:r w:rsidR="008A59B9" w:rsidRPr="370ABA07">
        <w:rPr>
          <w:lang w:val="en-GB"/>
        </w:rPr>
        <w:t>mployees</w:t>
      </w:r>
      <w:r w:rsidR="00956771" w:rsidRPr="370ABA07">
        <w:rPr>
          <w:lang w:val="en-GB"/>
        </w:rPr>
        <w:t xml:space="preserve"> will be paid supplementary payment</w:t>
      </w:r>
      <w:r w:rsidR="008A59B9" w:rsidRPr="370ABA07">
        <w:rPr>
          <w:lang w:val="en-GB"/>
        </w:rPr>
        <w:t>s</w:t>
      </w:r>
      <w:r w:rsidR="00956771" w:rsidRPr="370ABA07">
        <w:rPr>
          <w:lang w:val="en-GB"/>
        </w:rPr>
        <w:t xml:space="preserve"> in the form of a </w:t>
      </w:r>
      <w:r w:rsidR="00872F97">
        <w:rPr>
          <w:lang w:val="en-GB"/>
        </w:rPr>
        <w:t>bonus</w:t>
      </w:r>
      <w:r w:rsidR="00D44CFE">
        <w:rPr>
          <w:lang w:val="en-GB"/>
        </w:rPr>
        <w:t xml:space="preserve"> paid for</w:t>
      </w:r>
      <w:r w:rsidR="00956771" w:rsidRPr="370ABA07">
        <w:rPr>
          <w:lang w:val="en-GB"/>
        </w:rPr>
        <w:t xml:space="preserve"> </w:t>
      </w:r>
      <w:r w:rsidR="00F467FD">
        <w:rPr>
          <w:lang w:val="en-GB"/>
        </w:rPr>
        <w:t>each hour spent on the project implementation</w:t>
      </w:r>
      <w:r w:rsidR="00956771" w:rsidRPr="1D93B603">
        <w:rPr>
          <w:lang w:val="en-GB"/>
        </w:rPr>
        <w:t>.</w:t>
      </w:r>
      <w:r w:rsidR="00956771" w:rsidRPr="370ABA07">
        <w:rPr>
          <w:lang w:val="en-GB"/>
        </w:rPr>
        <w:t xml:space="preserve"> The specific amounts reflecting</w:t>
      </w:r>
      <w:r w:rsidR="008A59B9" w:rsidRPr="370ABA07">
        <w:rPr>
          <w:lang w:val="en-GB"/>
        </w:rPr>
        <w:t xml:space="preserve"> the project</w:t>
      </w:r>
      <w:r w:rsidR="008A59B9" w:rsidRPr="370ABA07">
        <w:rPr>
          <w:rFonts w:ascii="Franklin Gothic Book" w:hAnsi="Franklin Gothic Book"/>
          <w:lang w:val="en-GB"/>
        </w:rPr>
        <w:t>′</w:t>
      </w:r>
      <w:r w:rsidR="008A59B9" w:rsidRPr="370ABA07">
        <w:rPr>
          <w:lang w:val="en-GB"/>
        </w:rPr>
        <w:t xml:space="preserve">s role, are defined in Table 1. Supplementary </w:t>
      </w:r>
      <w:r w:rsidR="00F53707">
        <w:rPr>
          <w:lang w:val="en-GB"/>
        </w:rPr>
        <w:t>(b</w:t>
      </w:r>
      <w:r w:rsidR="00797DCF">
        <w:rPr>
          <w:lang w:val="en-GB"/>
        </w:rPr>
        <w:t>onus</w:t>
      </w:r>
      <w:r w:rsidR="00F53707">
        <w:rPr>
          <w:lang w:val="en-GB"/>
        </w:rPr>
        <w:t>)</w:t>
      </w:r>
      <w:r w:rsidR="00797DCF" w:rsidRPr="370ABA07">
        <w:rPr>
          <w:lang w:val="en-GB"/>
        </w:rPr>
        <w:t xml:space="preserve"> </w:t>
      </w:r>
      <w:r w:rsidR="008A59B9" w:rsidRPr="370ABA07">
        <w:rPr>
          <w:lang w:val="en-GB"/>
        </w:rPr>
        <w:t>payments will be paid to the employees on monthly</w:t>
      </w:r>
      <w:r w:rsidR="00797DCF">
        <w:rPr>
          <w:lang w:val="en-GB"/>
        </w:rPr>
        <w:t xml:space="preserve"> / quarte</w:t>
      </w:r>
      <w:r w:rsidR="00AD08A0">
        <w:rPr>
          <w:lang w:val="en-GB"/>
        </w:rPr>
        <w:t xml:space="preserve">rly / </w:t>
      </w:r>
      <w:r w:rsidR="00403D01">
        <w:rPr>
          <w:lang w:val="en-GB"/>
        </w:rPr>
        <w:t>bi</w:t>
      </w:r>
      <w:r w:rsidR="00081585" w:rsidRPr="00081585">
        <w:rPr>
          <w:lang w:val="en-GB"/>
        </w:rPr>
        <w:t>-annually</w:t>
      </w:r>
      <w:r w:rsidR="00081585">
        <w:rPr>
          <w:lang w:val="en-GB"/>
        </w:rPr>
        <w:t xml:space="preserve"> </w:t>
      </w:r>
      <w:r w:rsidR="008A59B9" w:rsidRPr="370ABA07">
        <w:rPr>
          <w:lang w:val="en-GB"/>
        </w:rPr>
        <w:t>bases in their salary.</w:t>
      </w:r>
    </w:p>
    <w:p w14:paraId="6F91FB27" w14:textId="77777777" w:rsidR="00956771" w:rsidRPr="00E47890" w:rsidRDefault="00956771" w:rsidP="00194330">
      <w:pPr>
        <w:shd w:val="clear" w:color="auto" w:fill="E2EFD9" w:themeFill="accent6" w:themeFillTint="33"/>
        <w:rPr>
          <w:lang w:val="en-GB"/>
        </w:rPr>
      </w:pPr>
      <w:r w:rsidRPr="00E47890">
        <w:rPr>
          <w:rFonts w:cstheme="minorHAnsi"/>
          <w:lang w:val="en-GB"/>
        </w:rPr>
        <w:t>Table 1</w:t>
      </w:r>
    </w:p>
    <w:tbl>
      <w:tblPr>
        <w:tblStyle w:val="Mkatabulky"/>
        <w:tblW w:w="0" w:type="auto"/>
        <w:shd w:val="clear" w:color="auto" w:fill="E2EFD9" w:themeFill="accent6" w:themeFillTint="33"/>
        <w:tblLook w:val="04A0" w:firstRow="1" w:lastRow="0" w:firstColumn="1" w:lastColumn="0" w:noHBand="0" w:noVBand="1"/>
      </w:tblPr>
      <w:tblGrid>
        <w:gridCol w:w="4531"/>
        <w:gridCol w:w="4531"/>
      </w:tblGrid>
      <w:tr w:rsidR="00956771" w:rsidRPr="00E47890" w14:paraId="3186EB4E" w14:textId="77777777">
        <w:tc>
          <w:tcPr>
            <w:tcW w:w="4531" w:type="dxa"/>
            <w:shd w:val="clear" w:color="auto" w:fill="E2EFD9" w:themeFill="accent6" w:themeFillTint="33"/>
          </w:tcPr>
          <w:p w14:paraId="4E5CF41D" w14:textId="77777777" w:rsidR="00956771" w:rsidRPr="00E47890" w:rsidRDefault="00956771">
            <w:pPr>
              <w:shd w:val="clear" w:color="auto" w:fill="E2EFD9" w:themeFill="accent6" w:themeFillTint="33"/>
              <w:rPr>
                <w:lang w:val="en-GB"/>
              </w:rPr>
            </w:pPr>
            <w:r w:rsidRPr="00E47890">
              <w:rPr>
                <w:lang w:val="en-GB"/>
              </w:rPr>
              <w:t>Role in the project</w:t>
            </w:r>
          </w:p>
        </w:tc>
        <w:tc>
          <w:tcPr>
            <w:tcW w:w="4531" w:type="dxa"/>
            <w:shd w:val="clear" w:color="auto" w:fill="E2EFD9" w:themeFill="accent6" w:themeFillTint="33"/>
          </w:tcPr>
          <w:p w14:paraId="5F0DDA92" w14:textId="548AD4F0" w:rsidR="00956771" w:rsidRPr="00E47890" w:rsidRDefault="00956771">
            <w:pPr>
              <w:shd w:val="clear" w:color="auto" w:fill="E2EFD9" w:themeFill="accent6" w:themeFillTint="33"/>
              <w:rPr>
                <w:lang w:val="en-GB"/>
              </w:rPr>
            </w:pPr>
            <w:r w:rsidRPr="00E47890">
              <w:rPr>
                <w:lang w:val="en-GB"/>
              </w:rPr>
              <w:t xml:space="preserve">The amount of the supplementary payment per </w:t>
            </w:r>
            <w:r w:rsidR="00AC38AF">
              <w:rPr>
                <w:lang w:val="en-GB"/>
              </w:rPr>
              <w:t>hour</w:t>
            </w:r>
            <w:r w:rsidR="005F647D">
              <w:rPr>
                <w:lang w:val="en-GB"/>
              </w:rPr>
              <w:t xml:space="preserve"> spent on project implementation</w:t>
            </w:r>
            <w:r w:rsidR="00AC38AF" w:rsidRPr="00E47890">
              <w:rPr>
                <w:lang w:val="en-GB"/>
              </w:rPr>
              <w:t xml:space="preserve"> </w:t>
            </w:r>
          </w:p>
        </w:tc>
      </w:tr>
      <w:tr w:rsidR="00956771" w:rsidRPr="00E47890" w14:paraId="3B100FBD" w14:textId="77777777">
        <w:tc>
          <w:tcPr>
            <w:tcW w:w="4531" w:type="dxa"/>
            <w:shd w:val="clear" w:color="auto" w:fill="E2EFD9" w:themeFill="accent6" w:themeFillTint="33"/>
          </w:tcPr>
          <w:p w14:paraId="1FFDE821" w14:textId="77777777" w:rsidR="00956771" w:rsidRPr="00E47890" w:rsidRDefault="00956771">
            <w:pPr>
              <w:rPr>
                <w:lang w:val="en-GB"/>
              </w:rPr>
            </w:pPr>
            <w:r w:rsidRPr="00E47890">
              <w:rPr>
                <w:lang w:val="en-GB"/>
              </w:rPr>
              <w:t>Principal investigator</w:t>
            </w:r>
          </w:p>
        </w:tc>
        <w:tc>
          <w:tcPr>
            <w:tcW w:w="4531" w:type="dxa"/>
            <w:shd w:val="clear" w:color="auto" w:fill="E2EFD9" w:themeFill="accent6" w:themeFillTint="33"/>
          </w:tcPr>
          <w:p w14:paraId="6ABEF6D4" w14:textId="2A1C401F" w:rsidR="00956771" w:rsidRPr="00E47890" w:rsidRDefault="005F647D">
            <w:pPr>
              <w:rPr>
                <w:lang w:val="en-GB"/>
              </w:rPr>
            </w:pPr>
            <w:r>
              <w:rPr>
                <w:lang w:val="en-GB"/>
              </w:rPr>
              <w:t>15 EUR</w:t>
            </w:r>
          </w:p>
        </w:tc>
      </w:tr>
      <w:tr w:rsidR="00956771" w:rsidRPr="00E47890" w14:paraId="66A8370C" w14:textId="77777777">
        <w:tc>
          <w:tcPr>
            <w:tcW w:w="4531" w:type="dxa"/>
            <w:shd w:val="clear" w:color="auto" w:fill="E2EFD9" w:themeFill="accent6" w:themeFillTint="33"/>
          </w:tcPr>
          <w:p w14:paraId="72388EA3" w14:textId="77777777" w:rsidR="00956771" w:rsidRPr="00E47890" w:rsidRDefault="00956771">
            <w:pPr>
              <w:rPr>
                <w:lang w:val="en-GB"/>
              </w:rPr>
            </w:pPr>
            <w:r w:rsidRPr="00E47890">
              <w:rPr>
                <w:lang w:val="en-GB"/>
              </w:rPr>
              <w:t xml:space="preserve">Researcher </w:t>
            </w:r>
          </w:p>
        </w:tc>
        <w:tc>
          <w:tcPr>
            <w:tcW w:w="4531" w:type="dxa"/>
            <w:shd w:val="clear" w:color="auto" w:fill="E2EFD9" w:themeFill="accent6" w:themeFillTint="33"/>
          </w:tcPr>
          <w:p w14:paraId="7EC50044" w14:textId="2A95223A" w:rsidR="00956771" w:rsidRPr="00E47890" w:rsidRDefault="005F647D">
            <w:pPr>
              <w:rPr>
                <w:lang w:val="en-GB"/>
              </w:rPr>
            </w:pPr>
            <w:r>
              <w:rPr>
                <w:lang w:val="en-GB"/>
              </w:rPr>
              <w:t>10 EUR</w:t>
            </w:r>
          </w:p>
        </w:tc>
      </w:tr>
    </w:tbl>
    <w:p w14:paraId="73A705EF" w14:textId="77777777" w:rsidR="00956771" w:rsidRPr="00E47890" w:rsidRDefault="00956771" w:rsidP="00956771">
      <w:pPr>
        <w:shd w:val="clear" w:color="auto" w:fill="E2EFD9" w:themeFill="accent6" w:themeFillTint="33"/>
        <w:rPr>
          <w:lang w:val="en-GB"/>
        </w:rPr>
      </w:pPr>
    </w:p>
    <w:p w14:paraId="6F41012D" w14:textId="77777777" w:rsidR="00E56D0F" w:rsidRDefault="00E56D0F" w:rsidP="00135A99">
      <w:pPr>
        <w:shd w:val="clear" w:color="auto" w:fill="FFFFFF" w:themeFill="background1"/>
        <w:rPr>
          <w:b/>
          <w:lang w:val="en-GB"/>
        </w:rPr>
      </w:pPr>
    </w:p>
    <w:p w14:paraId="170EBB36" w14:textId="77777777" w:rsidR="00F72EFE" w:rsidRPr="00CD40CE" w:rsidRDefault="00F72EFE" w:rsidP="00F72EFE">
      <w:pPr>
        <w:shd w:val="clear" w:color="auto" w:fill="FFFFFF" w:themeFill="background1"/>
        <w:rPr>
          <w:i/>
          <w:iCs/>
          <w:color w:val="70AD47" w:themeColor="accent6"/>
          <w:lang w:val="en-GB"/>
        </w:rPr>
      </w:pPr>
      <w:r w:rsidRPr="00CD40CE">
        <w:rPr>
          <w:b/>
          <w:i/>
          <w:iCs/>
          <w:color w:val="70AD47" w:themeColor="accent6"/>
          <w:lang w:val="en-GB"/>
        </w:rPr>
        <w:t>EXAMPLE CALCULATION</w:t>
      </w:r>
      <w:r w:rsidRPr="00CD40CE">
        <w:rPr>
          <w:b/>
          <w:bCs/>
          <w:i/>
          <w:iCs/>
          <w:color w:val="70AD47" w:themeColor="accent6"/>
          <w:lang w:val="en-GB"/>
        </w:rPr>
        <w:t>: Horizon Europe (HE) project (using the reporting period methodology)</w:t>
      </w:r>
    </w:p>
    <w:p w14:paraId="2B30B2C0" w14:textId="77777777" w:rsidR="00F72EFE" w:rsidRPr="00CD40CE" w:rsidRDefault="00F72EFE" w:rsidP="00F72EFE">
      <w:pPr>
        <w:shd w:val="clear" w:color="auto" w:fill="FFFFFF" w:themeFill="background1"/>
        <w:rPr>
          <w:i/>
          <w:iCs/>
          <w:color w:val="70AD47" w:themeColor="accent6"/>
          <w:lang w:val="en-GB"/>
        </w:rPr>
      </w:pPr>
      <w:r w:rsidRPr="00CD40CE">
        <w:rPr>
          <w:i/>
          <w:iCs/>
          <w:color w:val="70AD47" w:themeColor="accent6"/>
          <w:lang w:val="en-GB"/>
        </w:rPr>
        <w:t>Reporting period: 01/01/2023 – 30/6/2024</w:t>
      </w:r>
    </w:p>
    <w:p w14:paraId="06464912" w14:textId="77777777" w:rsidR="00F72EFE" w:rsidRPr="00CD40CE" w:rsidRDefault="00F72EFE" w:rsidP="00F72EFE">
      <w:pPr>
        <w:shd w:val="clear" w:color="auto" w:fill="FFFFFF" w:themeFill="background1"/>
        <w:rPr>
          <w:i/>
          <w:iCs/>
          <w:color w:val="70AD47" w:themeColor="accent6"/>
          <w:lang w:val="en-US"/>
        </w:rPr>
      </w:pPr>
      <w:r w:rsidRPr="00CD40CE">
        <w:rPr>
          <w:i/>
          <w:iCs/>
          <w:color w:val="70AD47" w:themeColor="accent6"/>
          <w:lang w:val="en-GB"/>
        </w:rPr>
        <w:t xml:space="preserve">1,0 FTE Employee A (principal investigator in the HE project worked </w:t>
      </w:r>
      <w:r w:rsidRPr="00CD40CE">
        <w:rPr>
          <w:i/>
          <w:iCs/>
          <w:color w:val="70AD47" w:themeColor="accent6"/>
          <w:lang w:val="en-US"/>
        </w:rPr>
        <w:t xml:space="preserve">1 998 hours for the HE </w:t>
      </w:r>
      <w:proofErr w:type="gramStart"/>
      <w:r w:rsidRPr="00CD40CE">
        <w:rPr>
          <w:i/>
          <w:iCs/>
          <w:color w:val="70AD47" w:themeColor="accent6"/>
          <w:lang w:val="en-US"/>
        </w:rPr>
        <w:t>project</w:t>
      </w:r>
      <w:proofErr w:type="gramEnd"/>
      <w:r w:rsidRPr="00CD40CE">
        <w:rPr>
          <w:i/>
          <w:iCs/>
          <w:color w:val="70AD47" w:themeColor="accent6"/>
          <w:lang w:val="en-US"/>
        </w:rPr>
        <w:t>. The</w:t>
      </w:r>
      <w:r>
        <w:rPr>
          <w:i/>
          <w:iCs/>
          <w:color w:val="70AD47" w:themeColor="accent6"/>
          <w:lang w:val="en-US"/>
        </w:rPr>
        <w:t xml:space="preserve"> number of</w:t>
      </w:r>
      <w:r w:rsidRPr="00CD40CE">
        <w:rPr>
          <w:i/>
          <w:iCs/>
          <w:color w:val="70AD47" w:themeColor="accent6"/>
          <w:lang w:val="en-US"/>
        </w:rPr>
        <w:t xml:space="preserve"> overall productive hours of the employee in the reporting period is 2 700 hours (national holidays, holidays and sick leave are deducted).  The eligible fixed monthly salary (non-project based) is 2 500 EUR.</w:t>
      </w:r>
    </w:p>
    <w:p w14:paraId="516DD86F" w14:textId="77777777" w:rsidR="00F72EFE" w:rsidRPr="00CD40CE" w:rsidRDefault="00F72EFE" w:rsidP="00F72EFE">
      <w:pPr>
        <w:shd w:val="clear" w:color="auto" w:fill="FFFFFF" w:themeFill="background1"/>
        <w:rPr>
          <w:b/>
          <w:bCs/>
          <w:i/>
          <w:iCs/>
          <w:color w:val="70AD47" w:themeColor="accent6"/>
          <w:lang w:val="en-GB"/>
        </w:rPr>
      </w:pPr>
      <w:r w:rsidRPr="00CD40CE">
        <w:rPr>
          <w:b/>
          <w:bCs/>
          <w:i/>
          <w:iCs/>
          <w:color w:val="70AD47" w:themeColor="accent6"/>
          <w:lang w:val="en-GB"/>
        </w:rPr>
        <w:t xml:space="preserve">Calculation of eligible personnel costs in the HE </w:t>
      </w:r>
      <w:proofErr w:type="gramStart"/>
      <w:r w:rsidRPr="00CD40CE">
        <w:rPr>
          <w:b/>
          <w:bCs/>
          <w:i/>
          <w:iCs/>
          <w:color w:val="70AD47" w:themeColor="accent6"/>
          <w:lang w:val="en-GB"/>
        </w:rPr>
        <w:t>project</w:t>
      </w:r>
      <w:proofErr w:type="gramEnd"/>
      <w:r w:rsidRPr="00CD40CE">
        <w:rPr>
          <w:b/>
          <w:bCs/>
          <w:i/>
          <w:iCs/>
          <w:color w:val="70AD47" w:themeColor="accent6"/>
          <w:lang w:val="en-GB"/>
        </w:rPr>
        <w:t>:</w:t>
      </w:r>
    </w:p>
    <w:p w14:paraId="7E14EA32" w14:textId="77777777" w:rsidR="00F72EFE" w:rsidRDefault="00F72EFE" w:rsidP="00F72EFE">
      <w:pPr>
        <w:shd w:val="clear" w:color="auto" w:fill="FFFFFF" w:themeFill="background1"/>
        <w:rPr>
          <w:color w:val="70AD47" w:themeColor="accent6"/>
          <w:lang w:val="en-GB"/>
        </w:rPr>
      </w:pPr>
      <w:r w:rsidRPr="00E47890">
        <w:rPr>
          <w:noProof/>
          <w:lang w:val="en-GB"/>
        </w:rPr>
        <w:drawing>
          <wp:inline distT="0" distB="0" distL="0" distR="0" wp14:anchorId="72BF3C91" wp14:editId="2D837233">
            <wp:extent cx="5229225" cy="1113055"/>
            <wp:effectExtent l="19050" t="19050" r="9525" b="11430"/>
            <wp:docPr id="1513556564" name="Picture 151355656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1"/>
                    <a:stretch>
                      <a:fillRect/>
                    </a:stretch>
                  </pic:blipFill>
                  <pic:spPr>
                    <a:xfrm>
                      <a:off x="0" y="0"/>
                      <a:ext cx="5242724" cy="1115928"/>
                    </a:xfrm>
                    <a:prstGeom prst="rect">
                      <a:avLst/>
                    </a:prstGeom>
                    <a:ln>
                      <a:solidFill>
                        <a:schemeClr val="accent6"/>
                      </a:solidFill>
                    </a:ln>
                  </pic:spPr>
                </pic:pic>
              </a:graphicData>
            </a:graphic>
          </wp:inline>
        </w:drawing>
      </w:r>
    </w:p>
    <w:p w14:paraId="03697222" w14:textId="77777777" w:rsidR="00F72EFE" w:rsidRDefault="00F72EFE" w:rsidP="00F72EFE">
      <w:pPr>
        <w:shd w:val="clear" w:color="auto" w:fill="FFFFFF" w:themeFill="background1"/>
        <w:rPr>
          <w:color w:val="70AD47" w:themeColor="accent6"/>
          <w:lang w:val="en-GB"/>
        </w:rPr>
      </w:pPr>
      <w:r w:rsidRPr="00194330">
        <w:rPr>
          <w:i/>
          <w:iCs/>
          <w:color w:val="6FAC47"/>
          <w:lang w:val="en-GB"/>
        </w:rPr>
        <w:t xml:space="preserve">Actual personnel costs for work on the action = </w:t>
      </w:r>
      <w:r>
        <w:rPr>
          <w:color w:val="70AD47" w:themeColor="accent6"/>
          <w:lang w:val="en-GB"/>
        </w:rPr>
        <w:t xml:space="preserve">(2 500 * 18) * (1 998 / 2700) + (15 * 1 998) = </w:t>
      </w:r>
      <w:r w:rsidRPr="00CD40CE">
        <w:rPr>
          <w:color w:val="70AD47" w:themeColor="accent6"/>
          <w:lang w:val="en-GB"/>
        </w:rPr>
        <w:t>63</w:t>
      </w:r>
      <w:r>
        <w:rPr>
          <w:color w:val="70AD47" w:themeColor="accent6"/>
          <w:lang w:val="en-GB"/>
        </w:rPr>
        <w:t xml:space="preserve"> </w:t>
      </w:r>
      <w:r w:rsidRPr="00CD40CE">
        <w:rPr>
          <w:color w:val="70AD47" w:themeColor="accent6"/>
          <w:lang w:val="en-GB"/>
        </w:rPr>
        <w:t>270</w:t>
      </w:r>
    </w:p>
    <w:p w14:paraId="7F4C4077" w14:textId="77777777" w:rsidR="00F72EFE" w:rsidRPr="00194330" w:rsidRDefault="00F72EFE" w:rsidP="00F72EFE">
      <w:pPr>
        <w:shd w:val="clear" w:color="auto" w:fill="FFFFFF" w:themeFill="background1"/>
        <w:rPr>
          <w:i/>
          <w:iCs/>
          <w:color w:val="6FAC47"/>
          <w:lang w:val="en-GB"/>
        </w:rPr>
      </w:pPr>
      <w:r w:rsidRPr="00194330">
        <w:rPr>
          <w:i/>
          <w:iCs/>
          <w:color w:val="6FAC47"/>
          <w:lang w:val="en-GB"/>
        </w:rPr>
        <w:t xml:space="preserve">Day-equivalents worked by the person on the action (see declaration/timesheets and round it to the nearest half-day) = </w:t>
      </w:r>
      <w:r>
        <w:rPr>
          <w:color w:val="70AD47" w:themeColor="accent6"/>
          <w:lang w:val="en-GB"/>
        </w:rPr>
        <w:t>1 998 / 8 = 249,75 rounded to 250</w:t>
      </w:r>
    </w:p>
    <w:p w14:paraId="2B520553" w14:textId="4338E6FD" w:rsidR="00F72EFE" w:rsidRDefault="00F72EFE" w:rsidP="00F72EFE">
      <w:pPr>
        <w:shd w:val="clear" w:color="auto" w:fill="FFFFFF" w:themeFill="background1"/>
        <w:rPr>
          <w:color w:val="70AD47" w:themeColor="accent6"/>
          <w:lang w:val="en-GB"/>
        </w:rPr>
      </w:pPr>
      <w:r>
        <w:rPr>
          <w:color w:val="70AD47" w:themeColor="accent6"/>
          <w:lang w:val="en-GB"/>
        </w:rPr>
        <w:t xml:space="preserve">Action daily rate = </w:t>
      </w:r>
      <w:r w:rsidRPr="00CD40CE">
        <w:rPr>
          <w:color w:val="70AD47" w:themeColor="accent6"/>
          <w:lang w:val="en-GB"/>
        </w:rPr>
        <w:t>63</w:t>
      </w:r>
      <w:r>
        <w:rPr>
          <w:color w:val="70AD47" w:themeColor="accent6"/>
          <w:lang w:val="en-GB"/>
        </w:rPr>
        <w:t xml:space="preserve"> </w:t>
      </w:r>
      <w:r w:rsidRPr="00CD40CE">
        <w:rPr>
          <w:color w:val="70AD47" w:themeColor="accent6"/>
          <w:lang w:val="en-GB"/>
        </w:rPr>
        <w:t>270</w:t>
      </w:r>
      <w:r>
        <w:rPr>
          <w:color w:val="70AD47" w:themeColor="accent6"/>
          <w:lang w:val="en-GB"/>
        </w:rPr>
        <w:t xml:space="preserve"> / 250 = 253,08 </w:t>
      </w:r>
    </w:p>
    <w:p w14:paraId="04A310CE" w14:textId="77777777" w:rsidR="00F72EFE" w:rsidRDefault="00F72EFE" w:rsidP="00F72EFE">
      <w:pPr>
        <w:shd w:val="clear" w:color="auto" w:fill="FFFFFF" w:themeFill="background1"/>
        <w:rPr>
          <w:color w:val="70AD47" w:themeColor="accent6"/>
          <w:lang w:val="en-GB"/>
        </w:rPr>
      </w:pPr>
      <w:r w:rsidRPr="00E47890">
        <w:rPr>
          <w:noProof/>
          <w:lang w:val="en-GB"/>
        </w:rPr>
        <w:drawing>
          <wp:inline distT="0" distB="0" distL="0" distR="0" wp14:anchorId="26C0DB2E" wp14:editId="4FA54695">
            <wp:extent cx="5305425" cy="691249"/>
            <wp:effectExtent l="19050" t="19050" r="9525" b="13970"/>
            <wp:docPr id="423511657" name="Picture 42351165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12"/>
                    <a:stretch>
                      <a:fillRect/>
                    </a:stretch>
                  </pic:blipFill>
                  <pic:spPr>
                    <a:xfrm>
                      <a:off x="0" y="0"/>
                      <a:ext cx="5327710" cy="694153"/>
                    </a:xfrm>
                    <a:prstGeom prst="rect">
                      <a:avLst/>
                    </a:prstGeom>
                    <a:ln>
                      <a:solidFill>
                        <a:schemeClr val="accent6"/>
                      </a:solidFill>
                    </a:ln>
                  </pic:spPr>
                </pic:pic>
              </a:graphicData>
            </a:graphic>
          </wp:inline>
        </w:drawing>
      </w:r>
    </w:p>
    <w:p w14:paraId="4B0BB542" w14:textId="77777777" w:rsidR="004658CF" w:rsidRPr="00123770" w:rsidRDefault="004658CF" w:rsidP="004658CF">
      <w:pPr>
        <w:shd w:val="clear" w:color="auto" w:fill="FFFFFF" w:themeFill="background1"/>
        <w:rPr>
          <w:i/>
          <w:iCs/>
          <w:color w:val="70AD47" w:themeColor="accent6"/>
          <w:lang w:val="en-GB"/>
        </w:rPr>
      </w:pPr>
      <w:r w:rsidRPr="00123770">
        <w:rPr>
          <w:b/>
          <w:bCs/>
          <w:i/>
          <w:iCs/>
          <w:color w:val="70AD47" w:themeColor="accent6"/>
          <w:lang w:val="en-GB"/>
        </w:rPr>
        <w:t>Option 2:</w:t>
      </w:r>
      <w:r w:rsidRPr="00123770">
        <w:rPr>
          <w:i/>
          <w:iCs/>
          <w:color w:val="70AD47" w:themeColor="accent6"/>
          <w:lang w:val="en-GB"/>
        </w:rPr>
        <w:t xml:space="preserve"> The national project daily rate must be calculated based on the formula identified in the Annotated Model Grant Agreement</w:t>
      </w:r>
    </w:p>
    <w:p w14:paraId="7EC86588" w14:textId="77777777" w:rsidR="00F72EFE" w:rsidRDefault="00F72EFE" w:rsidP="00F72EFE">
      <w:pPr>
        <w:shd w:val="clear" w:color="auto" w:fill="FFFFFF" w:themeFill="background1"/>
        <w:rPr>
          <w:color w:val="70AD47" w:themeColor="accent6"/>
          <w:lang w:val="en-GB"/>
        </w:rPr>
      </w:pPr>
      <w:r w:rsidRPr="00E47890">
        <w:rPr>
          <w:noProof/>
          <w:lang w:val="en-GB"/>
        </w:rPr>
        <w:lastRenderedPageBreak/>
        <w:drawing>
          <wp:inline distT="0" distB="0" distL="0" distR="0" wp14:anchorId="129197ED" wp14:editId="767E11BF">
            <wp:extent cx="5324475" cy="998926"/>
            <wp:effectExtent l="19050" t="19050" r="9525" b="10795"/>
            <wp:docPr id="1468093285" name="Picture 146809328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3"/>
                    <a:stretch>
                      <a:fillRect/>
                    </a:stretch>
                  </pic:blipFill>
                  <pic:spPr>
                    <a:xfrm>
                      <a:off x="0" y="0"/>
                      <a:ext cx="5329550" cy="999878"/>
                    </a:xfrm>
                    <a:prstGeom prst="rect">
                      <a:avLst/>
                    </a:prstGeom>
                    <a:ln>
                      <a:solidFill>
                        <a:schemeClr val="accent6"/>
                      </a:solidFill>
                    </a:ln>
                  </pic:spPr>
                </pic:pic>
              </a:graphicData>
            </a:graphic>
          </wp:inline>
        </w:drawing>
      </w:r>
    </w:p>
    <w:p w14:paraId="68EC032C" w14:textId="77777777" w:rsidR="00F72EFE" w:rsidRPr="002F09BC" w:rsidRDefault="00F72EFE" w:rsidP="004658CF">
      <w:pPr>
        <w:shd w:val="clear" w:color="auto" w:fill="FFFFFF" w:themeFill="background1"/>
        <w:ind w:left="851"/>
        <w:rPr>
          <w:i/>
          <w:iCs/>
          <w:color w:val="70AD47" w:themeColor="accent6"/>
          <w:lang w:val="en-GB"/>
        </w:rPr>
      </w:pPr>
      <w:r w:rsidRPr="002F09BC">
        <w:rPr>
          <w:i/>
          <w:iCs/>
          <w:color w:val="6FAC47"/>
          <w:lang w:val="en-GB"/>
        </w:rPr>
        <w:t xml:space="preserve">Theoretical personnel costs for similar work in a national project = </w:t>
      </w:r>
      <w:r w:rsidRPr="002F09BC">
        <w:rPr>
          <w:i/>
          <w:iCs/>
          <w:color w:val="70AD47" w:themeColor="accent6"/>
          <w:lang w:val="en-GB"/>
        </w:rPr>
        <w:t>(2</w:t>
      </w:r>
      <w:r>
        <w:rPr>
          <w:i/>
          <w:iCs/>
          <w:color w:val="70AD47" w:themeColor="accent6"/>
          <w:lang w:val="en-GB"/>
        </w:rPr>
        <w:t> </w:t>
      </w:r>
      <w:r w:rsidRPr="002F09BC">
        <w:rPr>
          <w:i/>
          <w:iCs/>
          <w:color w:val="70AD47" w:themeColor="accent6"/>
          <w:lang w:val="en-GB"/>
        </w:rPr>
        <w:t>500</w:t>
      </w:r>
      <w:r>
        <w:rPr>
          <w:i/>
          <w:iCs/>
          <w:color w:val="70AD47" w:themeColor="accent6"/>
          <w:lang w:val="en-GB"/>
        </w:rPr>
        <w:t xml:space="preserve"> </w:t>
      </w:r>
      <w:r w:rsidRPr="002F09BC">
        <w:rPr>
          <w:i/>
          <w:iCs/>
          <w:color w:val="70AD47" w:themeColor="accent6"/>
          <w:lang w:val="en-GB"/>
        </w:rPr>
        <w:t>*</w:t>
      </w:r>
      <w:r>
        <w:rPr>
          <w:i/>
          <w:iCs/>
          <w:color w:val="70AD47" w:themeColor="accent6"/>
          <w:lang w:val="en-GB"/>
        </w:rPr>
        <w:t xml:space="preserve"> </w:t>
      </w:r>
      <w:r w:rsidRPr="002F09BC">
        <w:rPr>
          <w:i/>
          <w:iCs/>
          <w:color w:val="70AD47" w:themeColor="accent6"/>
          <w:lang w:val="en-GB"/>
        </w:rPr>
        <w:t>18) + (15</w:t>
      </w:r>
      <w:r>
        <w:rPr>
          <w:i/>
          <w:iCs/>
          <w:color w:val="70AD47" w:themeColor="accent6"/>
          <w:lang w:val="en-GB"/>
        </w:rPr>
        <w:t xml:space="preserve"> </w:t>
      </w:r>
      <w:r w:rsidRPr="002F09BC">
        <w:rPr>
          <w:i/>
          <w:iCs/>
          <w:color w:val="70AD47" w:themeColor="accent6"/>
          <w:lang w:val="en-GB"/>
        </w:rPr>
        <w:t>*</w:t>
      </w:r>
      <w:r>
        <w:rPr>
          <w:i/>
          <w:iCs/>
          <w:color w:val="70AD47" w:themeColor="accent6"/>
          <w:lang w:val="en-GB"/>
        </w:rPr>
        <w:t xml:space="preserve"> </w:t>
      </w:r>
      <w:r w:rsidRPr="002F09BC">
        <w:rPr>
          <w:i/>
          <w:iCs/>
          <w:color w:val="70AD47" w:themeColor="accent6"/>
          <w:lang w:val="en-GB"/>
        </w:rPr>
        <w:t>2700)</w:t>
      </w:r>
      <w:r>
        <w:rPr>
          <w:i/>
          <w:iCs/>
          <w:color w:val="70AD47" w:themeColor="accent6"/>
          <w:lang w:val="en-GB"/>
        </w:rPr>
        <w:t xml:space="preserve"> = </w:t>
      </w:r>
      <w:r w:rsidRPr="002F09BC">
        <w:rPr>
          <w:i/>
          <w:iCs/>
          <w:color w:val="70AD47" w:themeColor="accent6"/>
          <w:lang w:val="en-GB"/>
        </w:rPr>
        <w:t>85</w:t>
      </w:r>
      <w:r>
        <w:rPr>
          <w:i/>
          <w:iCs/>
          <w:color w:val="70AD47" w:themeColor="accent6"/>
          <w:lang w:val="en-GB"/>
        </w:rPr>
        <w:t xml:space="preserve"> </w:t>
      </w:r>
      <w:r w:rsidRPr="002F09BC">
        <w:rPr>
          <w:i/>
          <w:iCs/>
          <w:color w:val="70AD47" w:themeColor="accent6"/>
          <w:lang w:val="en-GB"/>
        </w:rPr>
        <w:t xml:space="preserve">500 </w:t>
      </w:r>
    </w:p>
    <w:p w14:paraId="4142970F" w14:textId="77777777" w:rsidR="00F72EFE" w:rsidRPr="002F09BC" w:rsidRDefault="00F72EFE" w:rsidP="004658CF">
      <w:pPr>
        <w:shd w:val="clear" w:color="auto" w:fill="FFFFFF" w:themeFill="background1"/>
        <w:ind w:left="851"/>
        <w:rPr>
          <w:i/>
          <w:iCs/>
          <w:color w:val="6FAC47"/>
          <w:lang w:val="en-GB"/>
        </w:rPr>
      </w:pPr>
      <w:r w:rsidRPr="002F09BC">
        <w:rPr>
          <w:i/>
          <w:iCs/>
          <w:color w:val="6FAC47"/>
          <w:lang w:val="en-GB"/>
        </w:rPr>
        <w:t>Maximum declarable day-equivalents for the reporting period = (215/12) * 18 = 322,5 (already rounded to the nearest half-day)</w:t>
      </w:r>
    </w:p>
    <w:p w14:paraId="32A9FFC1" w14:textId="77777777" w:rsidR="00F72EFE" w:rsidRPr="002F09BC" w:rsidRDefault="00F72EFE" w:rsidP="004658CF">
      <w:pPr>
        <w:shd w:val="clear" w:color="auto" w:fill="FFFFFF" w:themeFill="background1"/>
        <w:ind w:left="851"/>
        <w:rPr>
          <w:i/>
          <w:iCs/>
          <w:color w:val="70AD47" w:themeColor="accent6"/>
          <w:lang w:val="en-GB"/>
        </w:rPr>
      </w:pPr>
      <w:r w:rsidRPr="002F09BC">
        <w:rPr>
          <w:i/>
          <w:iCs/>
          <w:color w:val="70AD47" w:themeColor="accent6"/>
          <w:lang w:val="en-GB"/>
        </w:rPr>
        <w:t>Theoretical national daily rate = 85</w:t>
      </w:r>
      <w:r>
        <w:rPr>
          <w:i/>
          <w:iCs/>
          <w:color w:val="70AD47" w:themeColor="accent6"/>
          <w:lang w:val="en-GB"/>
        </w:rPr>
        <w:t> </w:t>
      </w:r>
      <w:r w:rsidRPr="002F09BC">
        <w:rPr>
          <w:i/>
          <w:iCs/>
          <w:color w:val="70AD47" w:themeColor="accent6"/>
          <w:lang w:val="en-GB"/>
        </w:rPr>
        <w:t>500 / 322,5 = 265,12 EUR</w:t>
      </w:r>
    </w:p>
    <w:p w14:paraId="3EC558C5" w14:textId="77777777" w:rsidR="00F72EFE" w:rsidRPr="00194330" w:rsidRDefault="00F72EFE" w:rsidP="00F72EFE">
      <w:pPr>
        <w:shd w:val="clear" w:color="auto" w:fill="FFFFFF" w:themeFill="background1"/>
        <w:rPr>
          <w:i/>
          <w:iCs/>
          <w:color w:val="6FAC47"/>
          <w:lang w:val="en-GB"/>
        </w:rPr>
      </w:pPr>
    </w:p>
    <w:p w14:paraId="33EB463F" w14:textId="77777777" w:rsidR="00F72EFE" w:rsidRDefault="00F72EFE" w:rsidP="00F72EFE">
      <w:pPr>
        <w:shd w:val="clear" w:color="auto" w:fill="FFFFFF" w:themeFill="background1"/>
        <w:rPr>
          <w:color w:val="70AD47" w:themeColor="accent6"/>
          <w:lang w:val="en-GB"/>
        </w:rPr>
      </w:pPr>
      <w:r>
        <w:rPr>
          <w:noProof/>
        </w:rPr>
        <w:drawing>
          <wp:inline distT="0" distB="0" distL="0" distR="0" wp14:anchorId="5D7BC47F" wp14:editId="702E1C91">
            <wp:extent cx="4792496" cy="2188573"/>
            <wp:effectExtent l="19050" t="19050" r="27305" b="21590"/>
            <wp:docPr id="1565379242" name="Picture 156537924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4"/>
                    <a:stretch>
                      <a:fillRect/>
                    </a:stretch>
                  </pic:blipFill>
                  <pic:spPr>
                    <a:xfrm>
                      <a:off x="0" y="0"/>
                      <a:ext cx="4807310" cy="2195338"/>
                    </a:xfrm>
                    <a:prstGeom prst="rect">
                      <a:avLst/>
                    </a:prstGeom>
                    <a:ln>
                      <a:solidFill>
                        <a:schemeClr val="accent6"/>
                      </a:solidFill>
                    </a:ln>
                  </pic:spPr>
                </pic:pic>
              </a:graphicData>
            </a:graphic>
          </wp:inline>
        </w:drawing>
      </w:r>
    </w:p>
    <w:p w14:paraId="63F2C011" w14:textId="77777777" w:rsidR="00F72EFE" w:rsidRPr="00187825" w:rsidRDefault="00F72EFE" w:rsidP="00F72EFE">
      <w:pPr>
        <w:shd w:val="clear" w:color="auto" w:fill="FFFFFF" w:themeFill="background1"/>
        <w:rPr>
          <w:color w:val="70AD47" w:themeColor="accent6"/>
          <w:lang w:val="en-GB"/>
        </w:rPr>
      </w:pPr>
      <w:r>
        <w:rPr>
          <w:color w:val="70AD47" w:themeColor="accent6"/>
          <w:lang w:val="en-GB"/>
        </w:rPr>
        <w:t>Eligible p</w:t>
      </w:r>
      <w:r w:rsidRPr="370ABA07">
        <w:rPr>
          <w:color w:val="70AD47" w:themeColor="accent6"/>
          <w:lang w:val="en-GB"/>
        </w:rPr>
        <w:t xml:space="preserve">ersonnel costs = </w:t>
      </w:r>
      <w:r>
        <w:rPr>
          <w:color w:val="70AD47" w:themeColor="accent6"/>
          <w:lang w:val="en-GB"/>
        </w:rPr>
        <w:t xml:space="preserve">250 </w:t>
      </w:r>
      <w:r w:rsidRPr="370ABA07">
        <w:rPr>
          <w:color w:val="70AD47" w:themeColor="accent6"/>
          <w:lang w:val="en-GB"/>
        </w:rPr>
        <w:t>*</w:t>
      </w:r>
      <w:r>
        <w:rPr>
          <w:color w:val="70AD47" w:themeColor="accent6"/>
          <w:lang w:val="en-GB"/>
        </w:rPr>
        <w:t xml:space="preserve"> 253,08 </w:t>
      </w:r>
      <w:r w:rsidRPr="370ABA07">
        <w:rPr>
          <w:color w:val="70AD47" w:themeColor="accent6"/>
          <w:lang w:val="en-GB"/>
        </w:rPr>
        <w:t xml:space="preserve">= </w:t>
      </w:r>
      <w:r>
        <w:rPr>
          <w:color w:val="70AD47" w:themeColor="accent6"/>
          <w:lang w:val="en-GB"/>
        </w:rPr>
        <w:t>63 270 EUR</w:t>
      </w:r>
    </w:p>
    <w:p w14:paraId="35D9D197" w14:textId="77777777" w:rsidR="00F72EFE" w:rsidRDefault="00F72EFE" w:rsidP="00135A99">
      <w:pPr>
        <w:shd w:val="clear" w:color="auto" w:fill="FFFFFF" w:themeFill="background1"/>
        <w:rPr>
          <w:b/>
          <w:lang w:val="en-GB"/>
        </w:rPr>
      </w:pPr>
    </w:p>
    <w:sectPr w:rsidR="00F72EFE" w:rsidSect="000374C6">
      <w:headerReference w:type="even" r:id="rId15"/>
      <w:headerReference w:type="default" r:id="rId16"/>
      <w:footerReference w:type="default" r:id="rId17"/>
      <w:headerReference w:type="first" r:id="rId1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1EB8" w14:textId="77777777" w:rsidR="000374C6" w:rsidRDefault="000374C6" w:rsidP="00057C03">
      <w:pPr>
        <w:spacing w:after="0" w:line="240" w:lineRule="auto"/>
      </w:pPr>
      <w:r>
        <w:separator/>
      </w:r>
    </w:p>
  </w:endnote>
  <w:endnote w:type="continuationSeparator" w:id="0">
    <w:p w14:paraId="31BA0F3E" w14:textId="77777777" w:rsidR="000374C6" w:rsidRDefault="000374C6" w:rsidP="00057C03">
      <w:pPr>
        <w:spacing w:after="0" w:line="240" w:lineRule="auto"/>
      </w:pPr>
      <w:r>
        <w:continuationSeparator/>
      </w:r>
    </w:p>
  </w:endnote>
  <w:endnote w:type="continuationNotice" w:id="1">
    <w:p w14:paraId="523CA5E6" w14:textId="77777777" w:rsidR="000374C6" w:rsidRDefault="00037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180985"/>
      <w:docPartObj>
        <w:docPartGallery w:val="Page Numbers (Bottom of Page)"/>
        <w:docPartUnique/>
      </w:docPartObj>
    </w:sdtPr>
    <w:sdtContent>
      <w:p w14:paraId="44027658" w14:textId="2DF7994C" w:rsidR="002F09BC" w:rsidRDefault="002F09BC">
        <w:pPr>
          <w:pStyle w:val="Zpat"/>
          <w:jc w:val="right"/>
        </w:pPr>
        <w:r>
          <w:fldChar w:fldCharType="begin"/>
        </w:r>
        <w:r>
          <w:instrText>PAGE   \* MERGEFORMAT</w:instrText>
        </w:r>
        <w:r>
          <w:fldChar w:fldCharType="separate"/>
        </w:r>
        <w:r>
          <w:t>2</w:t>
        </w:r>
        <w:r>
          <w:fldChar w:fldCharType="end"/>
        </w:r>
      </w:p>
    </w:sdtContent>
  </w:sdt>
  <w:p w14:paraId="7F31A542" w14:textId="77777777" w:rsidR="002F09BC" w:rsidRDefault="002F09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134B" w14:textId="77777777" w:rsidR="000374C6" w:rsidRDefault="000374C6" w:rsidP="00057C03">
      <w:pPr>
        <w:spacing w:after="0" w:line="240" w:lineRule="auto"/>
      </w:pPr>
      <w:r>
        <w:separator/>
      </w:r>
    </w:p>
  </w:footnote>
  <w:footnote w:type="continuationSeparator" w:id="0">
    <w:p w14:paraId="11AD2A8A" w14:textId="77777777" w:rsidR="000374C6" w:rsidRDefault="000374C6" w:rsidP="00057C03">
      <w:pPr>
        <w:spacing w:after="0" w:line="240" w:lineRule="auto"/>
      </w:pPr>
      <w:r>
        <w:continuationSeparator/>
      </w:r>
    </w:p>
  </w:footnote>
  <w:footnote w:type="continuationNotice" w:id="1">
    <w:p w14:paraId="78CDB2E9" w14:textId="77777777" w:rsidR="000374C6" w:rsidRDefault="00037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01D5" w14:textId="5D24BF92" w:rsidR="00057C03" w:rsidRDefault="00057C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82A4" w14:textId="65D62631" w:rsidR="00057C03" w:rsidRDefault="00057C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4429" w14:textId="24975857" w:rsidR="00057C03" w:rsidRDefault="00057C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0185"/>
    <w:multiLevelType w:val="hybridMultilevel"/>
    <w:tmpl w:val="21F056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746BEC"/>
    <w:multiLevelType w:val="hybridMultilevel"/>
    <w:tmpl w:val="21F05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15239D"/>
    <w:multiLevelType w:val="hybridMultilevel"/>
    <w:tmpl w:val="BC1ACE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EA7AE9"/>
    <w:multiLevelType w:val="hybridMultilevel"/>
    <w:tmpl w:val="2F72B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3B009F"/>
    <w:multiLevelType w:val="hybridMultilevel"/>
    <w:tmpl w:val="248ED80E"/>
    <w:lvl w:ilvl="0" w:tplc="35AEADC8">
      <w:start w:val="1"/>
      <w:numFmt w:val="bullet"/>
      <w:lvlText w:val="-"/>
      <w:lvlJc w:val="left"/>
      <w:pPr>
        <w:ind w:left="720" w:hanging="360"/>
      </w:pPr>
      <w:rPr>
        <w:rFonts w:ascii="Calibri" w:hAnsi="Calibri" w:hint="default"/>
      </w:rPr>
    </w:lvl>
    <w:lvl w:ilvl="1" w:tplc="7FB24A80">
      <w:start w:val="1"/>
      <w:numFmt w:val="bullet"/>
      <w:lvlText w:val="o"/>
      <w:lvlJc w:val="left"/>
      <w:pPr>
        <w:ind w:left="1440" w:hanging="360"/>
      </w:pPr>
      <w:rPr>
        <w:rFonts w:ascii="Courier New" w:hAnsi="Courier New" w:hint="default"/>
      </w:rPr>
    </w:lvl>
    <w:lvl w:ilvl="2" w:tplc="A38A654A">
      <w:start w:val="1"/>
      <w:numFmt w:val="bullet"/>
      <w:lvlText w:val=""/>
      <w:lvlJc w:val="left"/>
      <w:pPr>
        <w:ind w:left="2160" w:hanging="360"/>
      </w:pPr>
      <w:rPr>
        <w:rFonts w:ascii="Wingdings" w:hAnsi="Wingdings" w:hint="default"/>
      </w:rPr>
    </w:lvl>
    <w:lvl w:ilvl="3" w:tplc="419EC424">
      <w:start w:val="1"/>
      <w:numFmt w:val="bullet"/>
      <w:lvlText w:val=""/>
      <w:lvlJc w:val="left"/>
      <w:pPr>
        <w:ind w:left="2880" w:hanging="360"/>
      </w:pPr>
      <w:rPr>
        <w:rFonts w:ascii="Symbol" w:hAnsi="Symbol" w:hint="default"/>
      </w:rPr>
    </w:lvl>
    <w:lvl w:ilvl="4" w:tplc="30F81C92">
      <w:start w:val="1"/>
      <w:numFmt w:val="bullet"/>
      <w:lvlText w:val="o"/>
      <w:lvlJc w:val="left"/>
      <w:pPr>
        <w:ind w:left="3600" w:hanging="360"/>
      </w:pPr>
      <w:rPr>
        <w:rFonts w:ascii="Courier New" w:hAnsi="Courier New" w:hint="default"/>
      </w:rPr>
    </w:lvl>
    <w:lvl w:ilvl="5" w:tplc="6874823E">
      <w:start w:val="1"/>
      <w:numFmt w:val="bullet"/>
      <w:lvlText w:val=""/>
      <w:lvlJc w:val="left"/>
      <w:pPr>
        <w:ind w:left="4320" w:hanging="360"/>
      </w:pPr>
      <w:rPr>
        <w:rFonts w:ascii="Wingdings" w:hAnsi="Wingdings" w:hint="default"/>
      </w:rPr>
    </w:lvl>
    <w:lvl w:ilvl="6" w:tplc="107E2CE2">
      <w:start w:val="1"/>
      <w:numFmt w:val="bullet"/>
      <w:lvlText w:val=""/>
      <w:lvlJc w:val="left"/>
      <w:pPr>
        <w:ind w:left="5040" w:hanging="360"/>
      </w:pPr>
      <w:rPr>
        <w:rFonts w:ascii="Symbol" w:hAnsi="Symbol" w:hint="default"/>
      </w:rPr>
    </w:lvl>
    <w:lvl w:ilvl="7" w:tplc="5E86A170">
      <w:start w:val="1"/>
      <w:numFmt w:val="bullet"/>
      <w:lvlText w:val="o"/>
      <w:lvlJc w:val="left"/>
      <w:pPr>
        <w:ind w:left="5760" w:hanging="360"/>
      </w:pPr>
      <w:rPr>
        <w:rFonts w:ascii="Courier New" w:hAnsi="Courier New" w:hint="default"/>
      </w:rPr>
    </w:lvl>
    <w:lvl w:ilvl="8" w:tplc="F1F03D2E">
      <w:start w:val="1"/>
      <w:numFmt w:val="bullet"/>
      <w:lvlText w:val=""/>
      <w:lvlJc w:val="left"/>
      <w:pPr>
        <w:ind w:left="6480" w:hanging="360"/>
      </w:pPr>
      <w:rPr>
        <w:rFonts w:ascii="Wingdings" w:hAnsi="Wingdings" w:hint="default"/>
      </w:rPr>
    </w:lvl>
  </w:abstractNum>
  <w:num w:numId="1" w16cid:durableId="457726771">
    <w:abstractNumId w:val="4"/>
  </w:num>
  <w:num w:numId="2" w16cid:durableId="2120759801">
    <w:abstractNumId w:val="3"/>
  </w:num>
  <w:num w:numId="3" w16cid:durableId="1725637492">
    <w:abstractNumId w:val="2"/>
  </w:num>
  <w:num w:numId="4" w16cid:durableId="1062408854">
    <w:abstractNumId w:val="1"/>
  </w:num>
  <w:num w:numId="5" w16cid:durableId="195848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NjEyszQ1NzIxN7RQ0lEKTi0uzszPAykwrAUA/t109CwAAAA="/>
    <w:docVar w:name="LW_DocType" w:val="NORMAL"/>
  </w:docVars>
  <w:rsids>
    <w:rsidRoot w:val="001B6D3D"/>
    <w:rsid w:val="00012D25"/>
    <w:rsid w:val="00012FD4"/>
    <w:rsid w:val="00015ED2"/>
    <w:rsid w:val="00025668"/>
    <w:rsid w:val="0003025D"/>
    <w:rsid w:val="00037149"/>
    <w:rsid w:val="000374C6"/>
    <w:rsid w:val="0005267B"/>
    <w:rsid w:val="0005458A"/>
    <w:rsid w:val="00056BCD"/>
    <w:rsid w:val="00057C03"/>
    <w:rsid w:val="00063520"/>
    <w:rsid w:val="00066756"/>
    <w:rsid w:val="000811B3"/>
    <w:rsid w:val="00081585"/>
    <w:rsid w:val="000939E5"/>
    <w:rsid w:val="00095CDA"/>
    <w:rsid w:val="00095D61"/>
    <w:rsid w:val="000A0F18"/>
    <w:rsid w:val="000C575F"/>
    <w:rsid w:val="00110F4E"/>
    <w:rsid w:val="00115527"/>
    <w:rsid w:val="001203D1"/>
    <w:rsid w:val="00123770"/>
    <w:rsid w:val="0013023E"/>
    <w:rsid w:val="00135A99"/>
    <w:rsid w:val="00167A7B"/>
    <w:rsid w:val="00187825"/>
    <w:rsid w:val="00193EFB"/>
    <w:rsid w:val="00194330"/>
    <w:rsid w:val="001B6D3D"/>
    <w:rsid w:val="001B7AC9"/>
    <w:rsid w:val="001F276C"/>
    <w:rsid w:val="00212C5E"/>
    <w:rsid w:val="00223B38"/>
    <w:rsid w:val="002341E1"/>
    <w:rsid w:val="00257014"/>
    <w:rsid w:val="00291C03"/>
    <w:rsid w:val="0029342C"/>
    <w:rsid w:val="00296FB9"/>
    <w:rsid w:val="002A6173"/>
    <w:rsid w:val="002A62D7"/>
    <w:rsid w:val="002C300B"/>
    <w:rsid w:val="002F09BC"/>
    <w:rsid w:val="002F1957"/>
    <w:rsid w:val="003049F3"/>
    <w:rsid w:val="00310F4F"/>
    <w:rsid w:val="00314FB0"/>
    <w:rsid w:val="00323015"/>
    <w:rsid w:val="003264F4"/>
    <w:rsid w:val="003276C0"/>
    <w:rsid w:val="0032774A"/>
    <w:rsid w:val="00343925"/>
    <w:rsid w:val="00347A1A"/>
    <w:rsid w:val="00350A53"/>
    <w:rsid w:val="0036550D"/>
    <w:rsid w:val="00381659"/>
    <w:rsid w:val="003C0C5C"/>
    <w:rsid w:val="003D265B"/>
    <w:rsid w:val="003D4112"/>
    <w:rsid w:val="003E1768"/>
    <w:rsid w:val="004019BC"/>
    <w:rsid w:val="00403D01"/>
    <w:rsid w:val="00405EB4"/>
    <w:rsid w:val="00406D4F"/>
    <w:rsid w:val="00407BD8"/>
    <w:rsid w:val="004158E7"/>
    <w:rsid w:val="00415EAA"/>
    <w:rsid w:val="00420340"/>
    <w:rsid w:val="00423B79"/>
    <w:rsid w:val="004462F8"/>
    <w:rsid w:val="004658CF"/>
    <w:rsid w:val="00471BD0"/>
    <w:rsid w:val="00476D3A"/>
    <w:rsid w:val="00495162"/>
    <w:rsid w:val="00495385"/>
    <w:rsid w:val="004B7D6F"/>
    <w:rsid w:val="004D0708"/>
    <w:rsid w:val="004D5B50"/>
    <w:rsid w:val="004E46E5"/>
    <w:rsid w:val="004F66E5"/>
    <w:rsid w:val="00526D50"/>
    <w:rsid w:val="005314A6"/>
    <w:rsid w:val="00542AFB"/>
    <w:rsid w:val="00547E4A"/>
    <w:rsid w:val="005620BE"/>
    <w:rsid w:val="005A34A3"/>
    <w:rsid w:val="005B71B5"/>
    <w:rsid w:val="005C0888"/>
    <w:rsid w:val="005D72FD"/>
    <w:rsid w:val="005D7E6D"/>
    <w:rsid w:val="005E3628"/>
    <w:rsid w:val="005F647D"/>
    <w:rsid w:val="0060350E"/>
    <w:rsid w:val="0060561E"/>
    <w:rsid w:val="00605721"/>
    <w:rsid w:val="0061230F"/>
    <w:rsid w:val="00613569"/>
    <w:rsid w:val="006169BF"/>
    <w:rsid w:val="006449DB"/>
    <w:rsid w:val="00657177"/>
    <w:rsid w:val="006628D3"/>
    <w:rsid w:val="00681DE1"/>
    <w:rsid w:val="006A4DA6"/>
    <w:rsid w:val="006A6A6D"/>
    <w:rsid w:val="006B1CCC"/>
    <w:rsid w:val="006C3C44"/>
    <w:rsid w:val="006F59CF"/>
    <w:rsid w:val="00707972"/>
    <w:rsid w:val="007122CA"/>
    <w:rsid w:val="00726410"/>
    <w:rsid w:val="00731F97"/>
    <w:rsid w:val="0074757F"/>
    <w:rsid w:val="00783A70"/>
    <w:rsid w:val="0079172E"/>
    <w:rsid w:val="00795B1E"/>
    <w:rsid w:val="00797DCF"/>
    <w:rsid w:val="007B10CB"/>
    <w:rsid w:val="007C2E28"/>
    <w:rsid w:val="007C3854"/>
    <w:rsid w:val="007D4E0C"/>
    <w:rsid w:val="007E24BE"/>
    <w:rsid w:val="00803706"/>
    <w:rsid w:val="00815450"/>
    <w:rsid w:val="008339E5"/>
    <w:rsid w:val="008503C0"/>
    <w:rsid w:val="00860DCE"/>
    <w:rsid w:val="00872F97"/>
    <w:rsid w:val="00882D37"/>
    <w:rsid w:val="00886313"/>
    <w:rsid w:val="00895E0E"/>
    <w:rsid w:val="008A59B9"/>
    <w:rsid w:val="008C7DF1"/>
    <w:rsid w:val="008D2A7B"/>
    <w:rsid w:val="008E4C27"/>
    <w:rsid w:val="0091402E"/>
    <w:rsid w:val="009232F9"/>
    <w:rsid w:val="00953F11"/>
    <w:rsid w:val="00956771"/>
    <w:rsid w:val="0097241B"/>
    <w:rsid w:val="00976103"/>
    <w:rsid w:val="009825D6"/>
    <w:rsid w:val="009B74B3"/>
    <w:rsid w:val="009C4F36"/>
    <w:rsid w:val="009D12AC"/>
    <w:rsid w:val="009E2C4C"/>
    <w:rsid w:val="009F37C8"/>
    <w:rsid w:val="00A21E42"/>
    <w:rsid w:val="00A2211D"/>
    <w:rsid w:val="00A4151B"/>
    <w:rsid w:val="00A423B0"/>
    <w:rsid w:val="00A46250"/>
    <w:rsid w:val="00A616F7"/>
    <w:rsid w:val="00AC05B0"/>
    <w:rsid w:val="00AC38AF"/>
    <w:rsid w:val="00AD08A0"/>
    <w:rsid w:val="00AE73F8"/>
    <w:rsid w:val="00B30B7B"/>
    <w:rsid w:val="00B6505C"/>
    <w:rsid w:val="00B972CB"/>
    <w:rsid w:val="00BA4D9A"/>
    <w:rsid w:val="00BC3BBD"/>
    <w:rsid w:val="00BD3B8A"/>
    <w:rsid w:val="00BE211C"/>
    <w:rsid w:val="00BE3ED8"/>
    <w:rsid w:val="00C069E6"/>
    <w:rsid w:val="00C21A7D"/>
    <w:rsid w:val="00C54195"/>
    <w:rsid w:val="00C5787A"/>
    <w:rsid w:val="00C66431"/>
    <w:rsid w:val="00C92006"/>
    <w:rsid w:val="00CA53D3"/>
    <w:rsid w:val="00CD40CE"/>
    <w:rsid w:val="00CF1AB6"/>
    <w:rsid w:val="00CF38A3"/>
    <w:rsid w:val="00D04721"/>
    <w:rsid w:val="00D1223F"/>
    <w:rsid w:val="00D12E66"/>
    <w:rsid w:val="00D2129E"/>
    <w:rsid w:val="00D32880"/>
    <w:rsid w:val="00D34964"/>
    <w:rsid w:val="00D40EFD"/>
    <w:rsid w:val="00D44CFE"/>
    <w:rsid w:val="00D70B07"/>
    <w:rsid w:val="00D7573F"/>
    <w:rsid w:val="00D76C24"/>
    <w:rsid w:val="00D82A1F"/>
    <w:rsid w:val="00DD06BF"/>
    <w:rsid w:val="00DE7094"/>
    <w:rsid w:val="00DF06D9"/>
    <w:rsid w:val="00DF0856"/>
    <w:rsid w:val="00DF0C09"/>
    <w:rsid w:val="00E00D86"/>
    <w:rsid w:val="00E03DE6"/>
    <w:rsid w:val="00E11810"/>
    <w:rsid w:val="00E16EB9"/>
    <w:rsid w:val="00E27FC8"/>
    <w:rsid w:val="00E47890"/>
    <w:rsid w:val="00E56D0F"/>
    <w:rsid w:val="00E64D32"/>
    <w:rsid w:val="00E80E1D"/>
    <w:rsid w:val="00ED2DFF"/>
    <w:rsid w:val="00EE0A40"/>
    <w:rsid w:val="00F10A63"/>
    <w:rsid w:val="00F138A3"/>
    <w:rsid w:val="00F14C51"/>
    <w:rsid w:val="00F203A8"/>
    <w:rsid w:val="00F467FD"/>
    <w:rsid w:val="00F53707"/>
    <w:rsid w:val="00F63CA0"/>
    <w:rsid w:val="00F71F6B"/>
    <w:rsid w:val="00F72EFE"/>
    <w:rsid w:val="00F826D6"/>
    <w:rsid w:val="00F83409"/>
    <w:rsid w:val="00F86810"/>
    <w:rsid w:val="00FC736B"/>
    <w:rsid w:val="00FD6EDB"/>
    <w:rsid w:val="0242522D"/>
    <w:rsid w:val="0332A7A4"/>
    <w:rsid w:val="038B1ECA"/>
    <w:rsid w:val="03A454D4"/>
    <w:rsid w:val="03B83BC2"/>
    <w:rsid w:val="047BC473"/>
    <w:rsid w:val="048201E7"/>
    <w:rsid w:val="04E6F74E"/>
    <w:rsid w:val="0524BE7E"/>
    <w:rsid w:val="0526EF2B"/>
    <w:rsid w:val="05924BD7"/>
    <w:rsid w:val="064A09D9"/>
    <w:rsid w:val="06EE8E1E"/>
    <w:rsid w:val="0746498F"/>
    <w:rsid w:val="078CE246"/>
    <w:rsid w:val="07CF665C"/>
    <w:rsid w:val="08CC859F"/>
    <w:rsid w:val="08F88E41"/>
    <w:rsid w:val="0A8E2BF1"/>
    <w:rsid w:val="0B3D430D"/>
    <w:rsid w:val="0C3BCA1D"/>
    <w:rsid w:val="0CCA3360"/>
    <w:rsid w:val="0D497930"/>
    <w:rsid w:val="0DC31D3B"/>
    <w:rsid w:val="0DF378AA"/>
    <w:rsid w:val="0E396E3A"/>
    <w:rsid w:val="0EBEE68C"/>
    <w:rsid w:val="109FB305"/>
    <w:rsid w:val="10F2F164"/>
    <w:rsid w:val="13A85ECD"/>
    <w:rsid w:val="1404EE77"/>
    <w:rsid w:val="1442BD39"/>
    <w:rsid w:val="14950587"/>
    <w:rsid w:val="14D1869A"/>
    <w:rsid w:val="16874B04"/>
    <w:rsid w:val="16D7E033"/>
    <w:rsid w:val="1884EB9B"/>
    <w:rsid w:val="1902DFCD"/>
    <w:rsid w:val="193B3F6A"/>
    <w:rsid w:val="1978AE8E"/>
    <w:rsid w:val="19F866C1"/>
    <w:rsid w:val="1B53BECA"/>
    <w:rsid w:val="1C13254B"/>
    <w:rsid w:val="1CDCCB15"/>
    <w:rsid w:val="1D93B603"/>
    <w:rsid w:val="1EBC30A4"/>
    <w:rsid w:val="1FFCB4A4"/>
    <w:rsid w:val="21846CEB"/>
    <w:rsid w:val="21C25253"/>
    <w:rsid w:val="222945AF"/>
    <w:rsid w:val="22CA5873"/>
    <w:rsid w:val="23DE62A0"/>
    <w:rsid w:val="23E5D852"/>
    <w:rsid w:val="23E761E1"/>
    <w:rsid w:val="257A3301"/>
    <w:rsid w:val="258742D8"/>
    <w:rsid w:val="26018E6D"/>
    <w:rsid w:val="267AB5CA"/>
    <w:rsid w:val="27986F4B"/>
    <w:rsid w:val="27C56FB8"/>
    <w:rsid w:val="2814D205"/>
    <w:rsid w:val="28A2FCEB"/>
    <w:rsid w:val="28C44929"/>
    <w:rsid w:val="28D37022"/>
    <w:rsid w:val="28F4D179"/>
    <w:rsid w:val="297C28C6"/>
    <w:rsid w:val="2A24CCBE"/>
    <w:rsid w:val="2A347BC7"/>
    <w:rsid w:val="2B1F9DCE"/>
    <w:rsid w:val="2B50DB86"/>
    <w:rsid w:val="2B7DAD51"/>
    <w:rsid w:val="2BDA9DAD"/>
    <w:rsid w:val="2D527D36"/>
    <w:rsid w:val="2D8E119F"/>
    <w:rsid w:val="2E37E017"/>
    <w:rsid w:val="2E783D90"/>
    <w:rsid w:val="2F6AD804"/>
    <w:rsid w:val="2F74758A"/>
    <w:rsid w:val="2FA64A99"/>
    <w:rsid w:val="2FDBCFD4"/>
    <w:rsid w:val="30565CB8"/>
    <w:rsid w:val="33401075"/>
    <w:rsid w:val="34EE8102"/>
    <w:rsid w:val="351D9A42"/>
    <w:rsid w:val="35242923"/>
    <w:rsid w:val="3590C161"/>
    <w:rsid w:val="35925032"/>
    <w:rsid w:val="35AC1F95"/>
    <w:rsid w:val="361C3088"/>
    <w:rsid w:val="36206EC1"/>
    <w:rsid w:val="367E4F90"/>
    <w:rsid w:val="36A60CF0"/>
    <w:rsid w:val="370ABA07"/>
    <w:rsid w:val="37EE3662"/>
    <w:rsid w:val="382621C4"/>
    <w:rsid w:val="39D1B562"/>
    <w:rsid w:val="3A283B65"/>
    <w:rsid w:val="3AB2E829"/>
    <w:rsid w:val="3B2F8BAC"/>
    <w:rsid w:val="3B6347C4"/>
    <w:rsid w:val="3B6983A2"/>
    <w:rsid w:val="3DFF7397"/>
    <w:rsid w:val="3E18CD77"/>
    <w:rsid w:val="408B208B"/>
    <w:rsid w:val="425D9EFC"/>
    <w:rsid w:val="4271ACE1"/>
    <w:rsid w:val="42B0DB6A"/>
    <w:rsid w:val="433A9D91"/>
    <w:rsid w:val="43A47D5B"/>
    <w:rsid w:val="43D551F2"/>
    <w:rsid w:val="43FCC8BD"/>
    <w:rsid w:val="4761FA29"/>
    <w:rsid w:val="48D87166"/>
    <w:rsid w:val="49201CEE"/>
    <w:rsid w:val="4A22F4E2"/>
    <w:rsid w:val="4A2EDA3A"/>
    <w:rsid w:val="4A64AE1D"/>
    <w:rsid w:val="4C52C923"/>
    <w:rsid w:val="4C9B3EF5"/>
    <w:rsid w:val="4DA7ACA5"/>
    <w:rsid w:val="4DD9ADE8"/>
    <w:rsid w:val="4E4553BD"/>
    <w:rsid w:val="4EFA7D35"/>
    <w:rsid w:val="4F215AE2"/>
    <w:rsid w:val="4F8621A8"/>
    <w:rsid w:val="506C7302"/>
    <w:rsid w:val="50DDE9EE"/>
    <w:rsid w:val="515CCE02"/>
    <w:rsid w:val="522DF5C9"/>
    <w:rsid w:val="52662B4F"/>
    <w:rsid w:val="527ADB34"/>
    <w:rsid w:val="52BDC26A"/>
    <w:rsid w:val="547FFDD4"/>
    <w:rsid w:val="54EA2DBD"/>
    <w:rsid w:val="5539C49B"/>
    <w:rsid w:val="55BAD136"/>
    <w:rsid w:val="56603C59"/>
    <w:rsid w:val="5685FE1E"/>
    <w:rsid w:val="56A6C2D3"/>
    <w:rsid w:val="57E8D1AC"/>
    <w:rsid w:val="57EFFCF4"/>
    <w:rsid w:val="5830ECDD"/>
    <w:rsid w:val="58FDE52F"/>
    <w:rsid w:val="590C1E49"/>
    <w:rsid w:val="59F9BDAC"/>
    <w:rsid w:val="5AA9744D"/>
    <w:rsid w:val="5AD9FE9F"/>
    <w:rsid w:val="5B4D06BA"/>
    <w:rsid w:val="5C25B0AE"/>
    <w:rsid w:val="5C69C547"/>
    <w:rsid w:val="5CB975B0"/>
    <w:rsid w:val="5D927DAA"/>
    <w:rsid w:val="5E9DE300"/>
    <w:rsid w:val="5EFC6E90"/>
    <w:rsid w:val="5FE96655"/>
    <w:rsid w:val="60FD5EB7"/>
    <w:rsid w:val="6128A164"/>
    <w:rsid w:val="6182DA9B"/>
    <w:rsid w:val="629832F9"/>
    <w:rsid w:val="62E05BAE"/>
    <w:rsid w:val="635F0FF6"/>
    <w:rsid w:val="6374DBF8"/>
    <w:rsid w:val="639C94FD"/>
    <w:rsid w:val="63E6ED0F"/>
    <w:rsid w:val="6406FCEC"/>
    <w:rsid w:val="64144F38"/>
    <w:rsid w:val="64FAC076"/>
    <w:rsid w:val="65C45A60"/>
    <w:rsid w:val="66BD3289"/>
    <w:rsid w:val="678FE4DB"/>
    <w:rsid w:val="6804A1C2"/>
    <w:rsid w:val="697EF93F"/>
    <w:rsid w:val="69A07223"/>
    <w:rsid w:val="69C96277"/>
    <w:rsid w:val="6A1F63F7"/>
    <w:rsid w:val="6B0EB852"/>
    <w:rsid w:val="6B29B7FA"/>
    <w:rsid w:val="6B658DEA"/>
    <w:rsid w:val="6B724933"/>
    <w:rsid w:val="6BAD7639"/>
    <w:rsid w:val="6CC5885B"/>
    <w:rsid w:val="6D23C8ED"/>
    <w:rsid w:val="6DFF265F"/>
    <w:rsid w:val="6E3AAD30"/>
    <w:rsid w:val="6F025DC1"/>
    <w:rsid w:val="712B463A"/>
    <w:rsid w:val="7146D269"/>
    <w:rsid w:val="72E2BACC"/>
    <w:rsid w:val="74E41892"/>
    <w:rsid w:val="75719F45"/>
    <w:rsid w:val="76E57041"/>
    <w:rsid w:val="791A8649"/>
    <w:rsid w:val="7B27A90B"/>
    <w:rsid w:val="7CBF84B3"/>
    <w:rsid w:val="7D245A44"/>
    <w:rsid w:val="7DC9D0FB"/>
    <w:rsid w:val="7E0C7C9E"/>
    <w:rsid w:val="7E7E8DB5"/>
    <w:rsid w:val="7EB7ADA6"/>
    <w:rsid w:val="7FE39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061C"/>
  <w15:chartTrackingRefBased/>
  <w15:docId w15:val="{CCB4CE43-B5C4-4570-8A3F-2398B6FA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02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62D7"/>
    <w:pPr>
      <w:ind w:left="720"/>
      <w:contextualSpacing/>
    </w:pPr>
  </w:style>
  <w:style w:type="table" w:styleId="Mkatabulky">
    <w:name w:val="Table Grid"/>
    <w:basedOn w:val="Normlntabulka"/>
    <w:uiPriority w:val="39"/>
    <w:rsid w:val="0034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A59B9"/>
    <w:pPr>
      <w:spacing w:after="0" w:line="240" w:lineRule="auto"/>
    </w:pPr>
  </w:style>
  <w:style w:type="character" w:styleId="Odkaznakoment">
    <w:name w:val="annotation reference"/>
    <w:basedOn w:val="Standardnpsmoodstavce"/>
    <w:uiPriority w:val="99"/>
    <w:semiHidden/>
    <w:unhideWhenUsed/>
    <w:rsid w:val="008A59B9"/>
    <w:rPr>
      <w:sz w:val="16"/>
      <w:szCs w:val="16"/>
    </w:rPr>
  </w:style>
  <w:style w:type="paragraph" w:styleId="Textkomente">
    <w:name w:val="annotation text"/>
    <w:basedOn w:val="Normln"/>
    <w:link w:val="TextkomenteChar"/>
    <w:uiPriority w:val="99"/>
    <w:unhideWhenUsed/>
    <w:rsid w:val="008A59B9"/>
    <w:pPr>
      <w:spacing w:line="240" w:lineRule="auto"/>
    </w:pPr>
    <w:rPr>
      <w:sz w:val="20"/>
      <w:szCs w:val="20"/>
    </w:rPr>
  </w:style>
  <w:style w:type="character" w:customStyle="1" w:styleId="TextkomenteChar">
    <w:name w:val="Text komentáře Char"/>
    <w:basedOn w:val="Standardnpsmoodstavce"/>
    <w:link w:val="Textkomente"/>
    <w:uiPriority w:val="99"/>
    <w:rsid w:val="008A59B9"/>
    <w:rPr>
      <w:sz w:val="20"/>
      <w:szCs w:val="20"/>
    </w:rPr>
  </w:style>
  <w:style w:type="paragraph" w:styleId="Pedmtkomente">
    <w:name w:val="annotation subject"/>
    <w:basedOn w:val="Textkomente"/>
    <w:next w:val="Textkomente"/>
    <w:link w:val="PedmtkomenteChar"/>
    <w:uiPriority w:val="99"/>
    <w:semiHidden/>
    <w:unhideWhenUsed/>
    <w:rsid w:val="008A59B9"/>
    <w:rPr>
      <w:b/>
      <w:bCs/>
    </w:rPr>
  </w:style>
  <w:style w:type="character" w:customStyle="1" w:styleId="PedmtkomenteChar">
    <w:name w:val="Předmět komentáře Char"/>
    <w:basedOn w:val="TextkomenteChar"/>
    <w:link w:val="Pedmtkomente"/>
    <w:uiPriority w:val="99"/>
    <w:semiHidden/>
    <w:rsid w:val="008A59B9"/>
    <w:rPr>
      <w:b/>
      <w:bCs/>
      <w:sz w:val="20"/>
      <w:szCs w:val="20"/>
    </w:rPr>
  </w:style>
  <w:style w:type="paragraph" w:styleId="Zhlav">
    <w:name w:val="header"/>
    <w:basedOn w:val="Normln"/>
    <w:link w:val="ZhlavChar"/>
    <w:uiPriority w:val="99"/>
    <w:unhideWhenUsed/>
    <w:rsid w:val="00057C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7C03"/>
  </w:style>
  <w:style w:type="paragraph" w:styleId="Zpat">
    <w:name w:val="footer"/>
    <w:basedOn w:val="Normln"/>
    <w:link w:val="ZpatChar"/>
    <w:uiPriority w:val="99"/>
    <w:unhideWhenUsed/>
    <w:rsid w:val="00057C03"/>
    <w:pPr>
      <w:tabs>
        <w:tab w:val="center" w:pos="4536"/>
        <w:tab w:val="right" w:pos="9072"/>
      </w:tabs>
      <w:spacing w:after="0" w:line="240" w:lineRule="auto"/>
    </w:pPr>
  </w:style>
  <w:style w:type="character" w:customStyle="1" w:styleId="ZpatChar">
    <w:name w:val="Zápatí Char"/>
    <w:basedOn w:val="Standardnpsmoodstavce"/>
    <w:link w:val="Zpat"/>
    <w:uiPriority w:val="99"/>
    <w:rsid w:val="00057C03"/>
  </w:style>
  <w:style w:type="character" w:styleId="Hypertextovodkaz">
    <w:name w:val="Hyperlink"/>
    <w:basedOn w:val="Standardnpsmoodstavce"/>
    <w:uiPriority w:val="99"/>
    <w:unhideWhenUsed/>
    <w:rsid w:val="005C0888"/>
    <w:rPr>
      <w:color w:val="0563C1" w:themeColor="hyperlink"/>
      <w:u w:val="single"/>
    </w:rPr>
  </w:style>
  <w:style w:type="character" w:styleId="Nevyeenzmnka">
    <w:name w:val="Unresolved Mention"/>
    <w:basedOn w:val="Standardnpsmoodstavce"/>
    <w:uiPriority w:val="99"/>
    <w:semiHidden/>
    <w:unhideWhenUsed/>
    <w:rsid w:val="005C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5542">
      <w:bodyDiv w:val="1"/>
      <w:marLeft w:val="0"/>
      <w:marRight w:val="0"/>
      <w:marTop w:val="0"/>
      <w:marBottom w:val="0"/>
      <w:divBdr>
        <w:top w:val="none" w:sz="0" w:space="0" w:color="auto"/>
        <w:left w:val="none" w:sz="0" w:space="0" w:color="auto"/>
        <w:bottom w:val="none" w:sz="0" w:space="0" w:color="auto"/>
        <w:right w:val="none" w:sz="0" w:space="0" w:color="auto"/>
      </w:divBdr>
    </w:div>
    <w:div w:id="1016998367">
      <w:bodyDiv w:val="1"/>
      <w:marLeft w:val="0"/>
      <w:marRight w:val="0"/>
      <w:marTop w:val="0"/>
      <w:marBottom w:val="0"/>
      <w:divBdr>
        <w:top w:val="none" w:sz="0" w:space="0" w:color="auto"/>
        <w:left w:val="none" w:sz="0" w:space="0" w:color="auto"/>
        <w:bottom w:val="none" w:sz="0" w:space="0" w:color="auto"/>
        <w:right w:val="none" w:sz="0" w:space="0" w:color="auto"/>
      </w:divBdr>
    </w:div>
    <w:div w:id="1091003427">
      <w:bodyDiv w:val="1"/>
      <w:marLeft w:val="0"/>
      <w:marRight w:val="0"/>
      <w:marTop w:val="0"/>
      <w:marBottom w:val="0"/>
      <w:divBdr>
        <w:top w:val="none" w:sz="0" w:space="0" w:color="auto"/>
        <w:left w:val="none" w:sz="0" w:space="0" w:color="auto"/>
        <w:bottom w:val="none" w:sz="0" w:space="0" w:color="auto"/>
        <w:right w:val="none" w:sz="0" w:space="0" w:color="auto"/>
      </w:divBdr>
    </w:div>
    <w:div w:id="1118261920">
      <w:bodyDiv w:val="1"/>
      <w:marLeft w:val="0"/>
      <w:marRight w:val="0"/>
      <w:marTop w:val="0"/>
      <w:marBottom w:val="0"/>
      <w:divBdr>
        <w:top w:val="none" w:sz="0" w:space="0" w:color="auto"/>
        <w:left w:val="none" w:sz="0" w:space="0" w:color="auto"/>
        <w:bottom w:val="none" w:sz="0" w:space="0" w:color="auto"/>
        <w:right w:val="none" w:sz="0" w:space="0" w:color="auto"/>
      </w:divBdr>
    </w:div>
    <w:div w:id="1179081516">
      <w:bodyDiv w:val="1"/>
      <w:marLeft w:val="0"/>
      <w:marRight w:val="0"/>
      <w:marTop w:val="0"/>
      <w:marBottom w:val="0"/>
      <w:divBdr>
        <w:top w:val="none" w:sz="0" w:space="0" w:color="auto"/>
        <w:left w:val="none" w:sz="0" w:space="0" w:color="auto"/>
        <w:bottom w:val="none" w:sz="0" w:space="0" w:color="auto"/>
        <w:right w:val="none" w:sz="0" w:space="0" w:color="auto"/>
      </w:divBdr>
    </w:div>
    <w:div w:id="17813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d6c27-022a-45db-8821-272271777d2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bd4eae9a-d96d-4e70-a5d8-5d93cade5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BFCB7B0B516646A7184EB476BD20CD" ma:contentTypeVersion="15" ma:contentTypeDescription="Vytvoří nový dokument" ma:contentTypeScope="" ma:versionID="cb24f3d7731d0f9f757af662b81392d3">
  <xsd:schema xmlns:xsd="http://www.w3.org/2001/XMLSchema" xmlns:xs="http://www.w3.org/2001/XMLSchema" xmlns:p="http://schemas.microsoft.com/office/2006/metadata/properties" xmlns:ns2="a0ad6c27-022a-45db-8821-272271777d2d" xmlns:ns3="bd4eae9a-d96d-4e70-a5d8-5d93cade5384" targetNamespace="http://schemas.microsoft.com/office/2006/metadata/properties" ma:root="true" ma:fieldsID="113a88916ee5998fdef95fe3c53254bc" ns2:_="" ns3:_="">
    <xsd:import namespace="a0ad6c27-022a-45db-8821-272271777d2d"/>
    <xsd:import namespace="bd4eae9a-d96d-4e70-a5d8-5d93cade5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6c27-022a-45db-8821-272271777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119855f-cfdc-4d27-a71e-8010d6e4b2c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eae9a-d96d-4e70-a5d8-5d93cade5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d8b33-c13f-4831-96f2-89b137aafb17}" ma:internalName="TaxCatchAll" ma:showField="CatchAllData" ma:web="bd4eae9a-d96d-4e70-a5d8-5d93cade53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AABC-2745-4EDA-B702-A229DA3BA4E7}">
  <ds:schemaRefs>
    <ds:schemaRef ds:uri="http://schemas.microsoft.com/office/2006/metadata/properties"/>
    <ds:schemaRef ds:uri="http://schemas.microsoft.com/office/infopath/2007/PartnerControls"/>
    <ds:schemaRef ds:uri="a0ad6c27-022a-45db-8821-272271777d2d"/>
    <ds:schemaRef ds:uri="bd4eae9a-d96d-4e70-a5d8-5d93cade5384"/>
  </ds:schemaRefs>
</ds:datastoreItem>
</file>

<file path=customXml/itemProps2.xml><?xml version="1.0" encoding="utf-8"?>
<ds:datastoreItem xmlns:ds="http://schemas.openxmlformats.org/officeDocument/2006/customXml" ds:itemID="{D1D8902C-EE02-47B8-A6CC-E4E9860F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d6c27-022a-45db-8821-272271777d2d"/>
    <ds:schemaRef ds:uri="bd4eae9a-d96d-4e70-a5d8-5d93cade5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FAE33-D529-470F-A7F6-CE2692CC7D4D}">
  <ds:schemaRefs>
    <ds:schemaRef ds:uri="http://schemas.microsoft.com/sharepoint/v3/contenttype/forms"/>
  </ds:schemaRefs>
</ds:datastoreItem>
</file>

<file path=customXml/itemProps4.xml><?xml version="1.0" encoding="utf-8"?>
<ds:datastoreItem xmlns:ds="http://schemas.openxmlformats.org/officeDocument/2006/customXml" ds:itemID="{1DED506E-B86C-4A67-AE33-FF52FE22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1869</Words>
  <Characters>11033</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Chvojkova Lenka TC</dc:creator>
  <cp:keywords/>
  <dc:description/>
  <cp:lastModifiedBy>TC Praha</cp:lastModifiedBy>
  <cp:revision>2</cp:revision>
  <cp:lastPrinted>2023-03-08T16:32:00Z</cp:lastPrinted>
  <dcterms:created xsi:type="dcterms:W3CDTF">2024-02-07T15:49:00Z</dcterms:created>
  <dcterms:modified xsi:type="dcterms:W3CDTF">2024-02-07T15:49:00Z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0x010100BDBFCB7B0B516646A7184EB476BD20CD</vt:lpwstr>
  </property>
  <property fmtid="{D5CDD505-2E9C-101B-9397-08002B2CF9AE}" pid="3" name="MediaServiceImageTags">
    <vt:lpwstr/>
  </property>
  <property fmtid="{D5CDD505-2E9C-101B-9397-08002B2CF9AE}" pid="4" name="GrammarlyDocumentId">
    <vt:lpwstr>e0b2f2590441000e1ddd0e92db9261af4d520f9cafd679fef73d6f54975a8150</vt:lpwstr>
  </property>
  <property fmtid="{D5CDD505-2E9C-101B-9397-08002B2CF9AE}" pid="5" name="MSIP_Label_6bd9ddd1-4d20-43f6-abfa-fc3c07406f94_Enabled">
    <vt:lpwstr>true</vt:lpwstr>
  </property>
  <property fmtid="{D5CDD505-2E9C-101B-9397-08002B2CF9AE}" pid="6" name="MSIP_Label_6bd9ddd1-4d20-43f6-abfa-fc3c07406f94_SetDate">
    <vt:lpwstr>2023-11-24T14:23:19Z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1355d173-4af3-4324-ad13-60e523b47016</vt:lpwstr>
  </property>
  <property fmtid="{D5CDD505-2E9C-101B-9397-08002B2CF9AE}" pid="11" name="MSIP_Label_6bd9ddd1-4d20-43f6-abfa-fc3c07406f94_ContentBits">
    <vt:lpwstr>0</vt:lpwstr>
  </property>
</Properties>
</file>