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DC0DA" w14:textId="418E7D29" w:rsidR="00C71757" w:rsidRDefault="00C71757" w:rsidP="00C7175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1" layoutInCell="1" allowOverlap="0" wp14:anchorId="1E5BBFA3" wp14:editId="4D153491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1452910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0260A" w14:textId="77777777" w:rsidR="00C71757" w:rsidRDefault="00C71757" w:rsidP="00C71757">
                            <w:pPr>
                              <w:pStyle w:val="Tiskovka"/>
                            </w:pPr>
                            <w: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BBFA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1pt;margin-top:96.75pt;width:216.75pt;height:65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k8IwIAAD0EAAAOAAAAZHJzL2Uyb0RvYy54bWysU9uO2jAQfa/Uf7D8XgIpt0aEFd0VVSW0&#10;uxJb7bNxbBLV8bi2IaFf37ETLqJvVV+ccWY8l3POLB7aWpGjsK4CndPRYEiJ0ByKSu9z+uNt/WlO&#10;ifNMF0yBFjk9CUcflh8/LBqTiRRKUIWwBJNolzUmp6X3JksSx0tRMzcAIzQ6JdiaebzafVJY1mD2&#10;WiXpcDhNGrCFscCFc/j3qXPSZcwvpeD+RUonPFE5xd58PG08d+FMlguW7S0zZcX7Ntg/dFGzSmPR&#10;S6on5hk52OqvVHXFLTiQfsChTkDKios4A04zGt5Nsy2ZEXEWBMeZC0zu/6Xlz8etebXEt1+hRQLj&#10;EM5sgP90iE3SGJf1MQFTlzmMDoO20tbhiyMQfIjYni54itYTjj/T2SSdpRNKOPrm6Xw6mwTAk+tr&#10;Y53/JqAmwcipRb5iB+y4cb4LPYeEYhrWlVKRM6VJk9Pp58kwPrh4MLnSfeNdr6Fr3+5afBbMHRQn&#10;HNhCpwVn+LrC4hvm/CuzSD6OgoL2L3hIBViEq8pQUoL9ff8vxCEX6KGkQRHl1P06MCsoUd81svRl&#10;NB4H1cXLeDJL8WJvPbtbjz7Uj4A6HeHKGB7NEO/V2ZQW6nfU+ypURRfTHGvn1J/NR99JG/eFi9Uq&#10;BqHODPMbvTX8zG+A9K19Z9b0uHtk7BnOcmPZHfxdbEfA6uBBVpGbK5o93qjRyG6/T2EJbu8x6rr1&#10;yz8AAAD//wMAUEsDBBQABgAIAAAAIQBb/AI54gAAAAsBAAAPAAAAZHJzL2Rvd25yZXYueG1sTI/B&#10;TsJAEIbvJr7DZky8wZZSDJRuCWlCTIweQC7ett2hbezO1u4C1ad3POFtJv+Xf77JNqPtxAUH3zpS&#10;MJtGIJAqZ1qqFRzfd5MlCB80Gd05QgXf6GGT399lOjXuSnu8HEItuIR8qhU0IfSplL5q0Go/dT0S&#10;Zyc3WB14HWppBn3lctvJOIqepNUt8YVG91g0WH0ezlbBS7F70/sytsufrnh+PW37r+PHQqnHh3G7&#10;BhFwDDcY/vRZHXJ2Kt2ZjBedgsksiRnlYDVfgGAi4QlEqWAeJxHIPJP/f8h/AQAA//8DAFBLAQIt&#10;ABQABgAIAAAAIQC2gziS/gAAAOEBAAATAAAAAAAAAAAAAAAAAAAAAABbQ29udGVudF9UeXBlc10u&#10;eG1sUEsBAi0AFAAGAAgAAAAhADj9If/WAAAAlAEAAAsAAAAAAAAAAAAAAAAALwEAAF9yZWxzLy5y&#10;ZWxzUEsBAi0AFAAGAAgAAAAhALXBqTwjAgAAPQQAAA4AAAAAAAAAAAAAAAAALgIAAGRycy9lMm9E&#10;b2MueG1sUEsBAi0AFAAGAAgAAAAhAFv8AjniAAAACwEAAA8AAAAAAAAAAAAAAAAAfQQAAGRycy9k&#10;b3ducmV2LnhtbFBLBQYAAAAABAAEAPMAAACMBQAAAAA=&#10;" o:allowoverlap="f" filled="f" stroked="f" strokeweight=".5pt">
                <v:textbox>
                  <w:txbxContent>
                    <w:p w14:paraId="6100260A" w14:textId="77777777" w:rsidR="00C71757" w:rsidRDefault="00C71757" w:rsidP="00C71757">
                      <w:pPr>
                        <w:pStyle w:val="Tiskovka"/>
                      </w:pPr>
                      <w:r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533C36CC" w14:textId="77777777" w:rsidR="00C71757" w:rsidRPr="00B44054" w:rsidRDefault="00C71757" w:rsidP="00C71757">
      <w:pPr>
        <w:pStyle w:val="paragraph"/>
        <w:spacing w:before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B44054">
        <w:rPr>
          <w:rStyle w:val="normaltextrun"/>
          <w:rFonts w:ascii="Calibri" w:eastAsiaTheme="majorEastAsia" w:hAnsi="Calibri" w:cs="Calibri"/>
          <w:b/>
          <w:bCs/>
          <w:sz w:val="36"/>
          <w:szCs w:val="36"/>
        </w:rPr>
        <w:t>Převrat v evropských lesích?</w:t>
      </w:r>
    </w:p>
    <w:p w14:paraId="480F1483" w14:textId="77777777" w:rsidR="00C71757" w:rsidRDefault="00C71757" w:rsidP="00C7175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Vědecké týmy z České zemědělské univerzity (ČZU) a z Výzkumného ústavu Silva Taroucy pro krajinu a okrasné zahradnictví (VÚKOZ) se podílely na studii publikované v uznávaném vědeckém časopise Communications Earth &amp; Environment. </w:t>
      </w:r>
      <w:hyperlink r:id="rId7" w:tgtFrame="_blank" w:history="1">
        <w:r>
          <w:rPr>
            <w:rStyle w:val="normaltextrun"/>
            <w:rFonts w:ascii="Calibri" w:eastAsiaTheme="majorEastAsia" w:hAnsi="Calibri" w:cs="Calibri"/>
            <w:b/>
            <w:bCs/>
            <w:color w:val="0000FF"/>
            <w:u w:val="single"/>
          </w:rPr>
          <w:t>Tato studie</w:t>
        </w:r>
      </w:hyperlink>
      <w:r>
        <w:rPr>
          <w:rStyle w:val="normaltextrun"/>
          <w:rFonts w:ascii="Calibri" w:eastAsiaTheme="majorEastAsia" w:hAnsi="Calibri" w:cs="Calibri"/>
          <w:b/>
          <w:bCs/>
        </w:rPr>
        <w:t xml:space="preserve">, první svého druhu v Evropě, ukazuje, že potenciální uhlíkový zisk z ochrany, obnovy a pokračujícího růstu stávajících původních lesů („pralesů“) a starých lesů s přírodě blízkou druhovou skladbou a dlouhodobou kontinuitou, byť v minulosti člověkem </w:t>
      </w:r>
      <w:r>
        <w:rPr>
          <w:rStyle w:val="normaltextrun"/>
          <w:rFonts w:ascii="Calibri" w:hAnsi="Calibri" w:cs="Calibri"/>
          <w:b/>
          <w:bCs/>
        </w:rPr>
        <w:t>obhospodařovaných (</w:t>
      </w:r>
      <w:r>
        <w:rPr>
          <w:rStyle w:val="normaltextrun"/>
          <w:rFonts w:ascii="Calibri" w:eastAsiaTheme="majorEastAsia" w:hAnsi="Calibri" w:cs="Calibri"/>
          <w:b/>
          <w:bCs/>
        </w:rPr>
        <w:t>“starých lesů”) činí přibližně 300 megatun  C0</w:t>
      </w:r>
      <w:r>
        <w:rPr>
          <w:rStyle w:val="normaltextrun"/>
          <w:rFonts w:ascii="Calibri" w:eastAsiaTheme="majorEastAsia" w:hAnsi="Calibri" w:cs="Calibri"/>
          <w:b/>
          <w:bCs/>
          <w:sz w:val="19"/>
          <w:szCs w:val="19"/>
          <w:vertAlign w:val="subscript"/>
        </w:rPr>
        <w:t>2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ročně. Toto množství je vyšší než současné poutání uhlíku evropskými lesy a úroveň srovnatelná s cílem Zelené dohody EU pro rok 2030 pro odstraňování C0</w:t>
      </w:r>
      <w:r>
        <w:rPr>
          <w:rStyle w:val="normaltextrun"/>
          <w:rFonts w:ascii="Calibri" w:eastAsiaTheme="majorEastAsia" w:hAnsi="Calibri" w:cs="Calibri"/>
          <w:b/>
          <w:bCs/>
          <w:sz w:val="19"/>
          <w:szCs w:val="19"/>
          <w:vertAlign w:val="subscript"/>
        </w:rPr>
        <w:t>2</w:t>
      </w:r>
      <w:r>
        <w:rPr>
          <w:rStyle w:val="normaltextrun"/>
          <w:rFonts w:ascii="Calibri" w:eastAsiaTheme="majorEastAsia" w:hAnsi="Calibri" w:cs="Calibri"/>
          <w:b/>
          <w:bCs/>
        </w:rPr>
        <w:t>.</w:t>
      </w:r>
      <w:r>
        <w:rPr>
          <w:rStyle w:val="eop"/>
          <w:rFonts w:ascii="Calibri" w:eastAsiaTheme="majorEastAsia" w:hAnsi="Calibri" w:cs="Calibri"/>
        </w:rPr>
        <w:t> </w:t>
      </w:r>
    </w:p>
    <w:p w14:paraId="0592CEB8" w14:textId="77777777" w:rsidR="00C71757" w:rsidRDefault="00C71757" w:rsidP="00C7175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Dr. Zoltan Kun, jeden z iniciátorů studie k tomu uvádí: „</w:t>
      </w:r>
      <w:hyperlink r:id="rId8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0000FF"/>
            <w:u w:val="single"/>
          </w:rPr>
          <w:t>Zelená dohoda EU</w:t>
        </w:r>
      </w:hyperlink>
      <w:r>
        <w:rPr>
          <w:rStyle w:val="normaltextrun"/>
          <w:rFonts w:ascii="Calibri" w:eastAsiaTheme="majorEastAsia" w:hAnsi="Calibri" w:cs="Calibri"/>
          <w:i/>
          <w:iCs/>
        </w:rPr>
        <w:t xml:space="preserve"> zahrnuje Strategii EU pro biologickou rozmanitost do roku 2030, která obsahuje závazek urgentně mapovat a chránit poslední pralesy a staré lesy v Evropě. Tato studie potvrzuje, že ochrana stávajících pralesů a starých lesů a jejich obnova by nejen prospěla biodiverzitě a plnila závazek EU k Úmluvě o biologické rozmanitosti (CBD), ale také podpořila Klimatickou dohodu EU významným přispíváním k cíli v oblasti absorpce uhlíku</w:t>
      </w:r>
      <w:r>
        <w:rPr>
          <w:rStyle w:val="normaltextrun"/>
          <w:rFonts w:ascii="Calibri" w:eastAsiaTheme="majorEastAsia" w:hAnsi="Calibri" w:cs="Calibri"/>
        </w:rPr>
        <w:t>.“</w:t>
      </w:r>
      <w:r>
        <w:rPr>
          <w:rStyle w:val="eop"/>
          <w:rFonts w:ascii="Calibri" w:eastAsiaTheme="majorEastAsia" w:hAnsi="Calibri" w:cs="Calibri"/>
        </w:rPr>
        <w:t> </w:t>
      </w:r>
    </w:p>
    <w:p w14:paraId="6C11163F" w14:textId="1F07738F" w:rsidR="00C71757" w:rsidRDefault="00C71757" w:rsidP="00C7175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Výzkum zahrnoval analýzu dat shromážděných v různých typech lesních stanovišť po celé Evropě a výpočet množství uhlíku uloženého v nadzemní, podzemní a mrtvé biomase stromů a v lesní půdě. Studie zjistila, že zásoby uhlíku v původních a přirozených lesích (tj. lesích bez přímého vlivu člověka) byly podhodnoceny, a proto i nedoceněny v klimatických a lesnických dohodách a strategických dokumentech. „</w:t>
      </w:r>
      <w:r>
        <w:rPr>
          <w:rStyle w:val="normaltextrun"/>
          <w:rFonts w:ascii="Calibri" w:eastAsiaTheme="majorEastAsia" w:hAnsi="Calibri" w:cs="Calibri"/>
          <w:i/>
          <w:iCs/>
        </w:rPr>
        <w:t>Použití potenciální kapacity uhlíkového zásobníku v přirozených lesích jako ekologicky podložené referenční úrovně, které je možné ochranou starých lesů dosáhnout, odhaluje značné příležitosti pro mitigaci klimatické změny</w:t>
      </w:r>
      <w:r>
        <w:rPr>
          <w:rStyle w:val="normaltextrun"/>
          <w:rFonts w:ascii="Calibri" w:eastAsiaTheme="majorEastAsia" w:hAnsi="Calibri" w:cs="Calibri"/>
        </w:rPr>
        <w:t xml:space="preserve">,“ vysvětluje další ze spoluautorů M. Svoboda. </w:t>
      </w:r>
      <w:hyperlink r:id="rId9" w:tgtFrame="_blank" w:history="1">
        <w:r>
          <w:rPr>
            <w:rStyle w:val="normaltextrun"/>
            <w:rFonts w:ascii="Calibri" w:eastAsiaTheme="majorEastAsia" w:hAnsi="Calibri" w:cs="Calibri"/>
            <w:color w:val="0000FF"/>
            <w:u w:val="single"/>
          </w:rPr>
          <w:t>Výsledky studie</w:t>
        </w:r>
      </w:hyperlink>
      <w:r>
        <w:rPr>
          <w:rStyle w:val="normaltextrun"/>
          <w:rFonts w:ascii="Calibri" w:eastAsiaTheme="majorEastAsia" w:hAnsi="Calibri" w:cs="Calibri"/>
        </w:rPr>
        <w:t xml:space="preserve"> ukazují, že dosažení potenciální kapacity uhlíku v existujících starých (i hospodářských) lesích tím, že se trvale umožní jejich pokračující růst a samovolný vývoj, je důležitým prostředkem zmírňování změny klimatu, který má EU k dispozici. </w:t>
      </w:r>
      <w:r>
        <w:rPr>
          <w:rStyle w:val="eop"/>
          <w:rFonts w:ascii="Calibri" w:eastAsiaTheme="majorEastAsia" w:hAnsi="Calibri" w:cs="Calibri"/>
        </w:rPr>
        <w:t> </w:t>
      </w:r>
    </w:p>
    <w:p w14:paraId="668F71EF" w14:textId="77777777" w:rsidR="00C71757" w:rsidRDefault="00C71757" w:rsidP="00C7175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  <w:r>
        <w:rPr>
          <w:rStyle w:val="normaltextrun"/>
          <w:rFonts w:ascii="Calibri" w:eastAsiaTheme="majorEastAsia" w:hAnsi="Calibri" w:cs="Calibri"/>
        </w:rPr>
        <w:t>„</w:t>
      </w:r>
      <w:r>
        <w:rPr>
          <w:rStyle w:val="normaltextrun"/>
          <w:rFonts w:ascii="Calibri" w:eastAsiaTheme="majorEastAsia" w:hAnsi="Calibri" w:cs="Calibri"/>
          <w:i/>
          <w:iCs/>
        </w:rPr>
        <w:t xml:space="preserve">Naše zjištění poskytují přesvědčivé důkazy o naléhavé potřebě zachování stávajících pralesů a starých lesů, což byl jeden ze závazků členských států EU v rámci 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0000FF"/>
            <w:u w:val="single"/>
          </w:rPr>
          <w:t>Strategie EU pro biologickou rozmanitost do roku 2030</w:t>
        </w:r>
      </w:hyperlink>
      <w:r>
        <w:rPr>
          <w:rStyle w:val="normaltextrun"/>
          <w:rFonts w:ascii="Calibri" w:eastAsiaTheme="majorEastAsia" w:hAnsi="Calibri" w:cs="Calibri"/>
          <w:i/>
          <w:iCs/>
        </w:rPr>
        <w:t xml:space="preserve">. Současný stav lesů v Evropě není ideální, </w:t>
      </w:r>
      <w:hyperlink r:id="rId11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0000FF"/>
            <w:u w:val="single"/>
          </w:rPr>
          <w:t>kácení starých lesů v Evropě</w:t>
        </w:r>
      </w:hyperlink>
      <w:r>
        <w:rPr>
          <w:rStyle w:val="normaltextrun"/>
          <w:rFonts w:ascii="Calibri" w:eastAsiaTheme="majorEastAsia" w:hAnsi="Calibri" w:cs="Calibri"/>
          <w:i/>
          <w:iCs/>
        </w:rPr>
        <w:t xml:space="preserve"> i v ČR stále probíhá. Podle zprávy </w:t>
      </w:r>
      <w:hyperlink r:id="rId12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0000FF"/>
            <w:u w:val="single"/>
          </w:rPr>
          <w:t>EEA State of Nature</w:t>
        </w:r>
      </w:hyperlink>
      <w:r>
        <w:rPr>
          <w:rStyle w:val="normaltextrun"/>
          <w:rFonts w:ascii="Calibri" w:eastAsiaTheme="majorEastAsia" w:hAnsi="Calibri" w:cs="Calibri"/>
          <w:i/>
          <w:iCs/>
        </w:rPr>
        <w:t xml:space="preserve"> in the EU z roku 2020 pouze 15</w:t>
      </w:r>
      <w:r>
        <w:rPr>
          <w:rStyle w:val="normaltextrun"/>
          <w:rFonts w:ascii="Calibri" w:hAnsi="Calibri" w:cs="Calibri"/>
          <w:i/>
          <w:iCs/>
        </w:rPr>
        <w:t xml:space="preserve"> </w:t>
      </w:r>
      <w:r>
        <w:rPr>
          <w:rStyle w:val="normaltextrun"/>
          <w:rFonts w:ascii="Calibri" w:eastAsiaTheme="majorEastAsia" w:hAnsi="Calibri" w:cs="Calibri"/>
          <w:i/>
          <w:iCs/>
        </w:rPr>
        <w:t xml:space="preserve">% lesních biotopů v síti Natura 2000 </w:t>
      </w:r>
      <w:r>
        <w:rPr>
          <w:rStyle w:val="normaltextrun"/>
          <w:rFonts w:ascii="Calibri" w:eastAsiaTheme="majorEastAsia" w:hAnsi="Calibri" w:cs="Calibri"/>
        </w:rPr>
        <w:t xml:space="preserve">(soustava chráněných území, která má zajistit dlouhodobé přežití nejcennějších a nejohroženějších druhů a stanovišť) </w:t>
      </w:r>
      <w:r>
        <w:rPr>
          <w:rStyle w:val="normaltextrun"/>
          <w:rFonts w:ascii="Calibri" w:eastAsiaTheme="majorEastAsia" w:hAnsi="Calibri" w:cs="Calibri"/>
          <w:i/>
          <w:iCs/>
        </w:rPr>
        <w:t>vykazuje příznivý stav ochrany,</w:t>
      </w:r>
      <w:r>
        <w:rPr>
          <w:rStyle w:val="normaltextrun"/>
          <w:rFonts w:ascii="Calibri" w:eastAsiaTheme="majorEastAsia" w:hAnsi="Calibri" w:cs="Calibri"/>
        </w:rPr>
        <w:t>“ říká Martin Mikoláš (ČZU), jeden ze spoluautorů studie. </w:t>
      </w:r>
      <w:r>
        <w:rPr>
          <w:rStyle w:val="eop"/>
          <w:rFonts w:ascii="Calibri" w:eastAsiaTheme="majorEastAsia" w:hAnsi="Calibri" w:cs="Calibri"/>
        </w:rPr>
        <w:t> </w:t>
      </w:r>
    </w:p>
    <w:p w14:paraId="2812D231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lastRenderedPageBreak/>
        <w:t xml:space="preserve">Není proto náhodou, že vědci z VÚKOZu, kteří se na uvedené studii podíleli, rozbíhají od ledna společně s 15 výzkumnými organizacemi z 9 evropských zemí další rozsáhlý a podrobný výzkum na toto téma v rámci evropského projektu Horizon Europe - </w:t>
      </w:r>
      <w:hyperlink r:id="rId13" w:tgtFrame="_blank" w:history="1">
        <w:r>
          <w:rPr>
            <w:rStyle w:val="normaltextrun"/>
            <w:rFonts w:ascii="Calibri" w:eastAsiaTheme="majorEastAsia" w:hAnsi="Calibri" w:cs="Calibri"/>
            <w:color w:val="0000FF"/>
            <w:u w:val="single"/>
          </w:rPr>
          <w:t>WILDCARD</w:t>
        </w:r>
      </w:hyperlink>
      <w:r>
        <w:rPr>
          <w:rStyle w:val="normaltextrun"/>
          <w:rFonts w:ascii="Calibri" w:eastAsiaTheme="majorEastAsia" w:hAnsi="Calibri" w:cs="Calibri"/>
        </w:rPr>
        <w:t>. V něm budou kromě kalkulací zásob uhlíku v živé i tlející biomase a v půdě analyzovány i změny biodiverzity různých skupin organismů (cévnaté rostliny, mechorosty, lišejníky, houby, hmyz, půdní mikrobiom a další) po upuštění od dalšího hospodaření, a to nejen v původně hospodářských lesích, ale i na zemědělské půdě. „</w:t>
      </w:r>
      <w:r>
        <w:rPr>
          <w:rStyle w:val="normaltextrun"/>
          <w:rFonts w:ascii="Calibri" w:eastAsiaTheme="majorEastAsia" w:hAnsi="Calibri" w:cs="Calibri"/>
          <w:i/>
          <w:iCs/>
        </w:rPr>
        <w:t>Plné využití spontánních přírodních procesů je velice lákavé. Musíme ale porozumět tomu, co přesně se děje, když člověk v krajině nebo její části zcela přestane hospodařit</w:t>
      </w:r>
      <w:r>
        <w:rPr>
          <w:rStyle w:val="normaltextrun"/>
          <w:rFonts w:ascii="Calibri" w:eastAsiaTheme="majorEastAsia" w:hAnsi="Calibri" w:cs="Calibri"/>
        </w:rPr>
        <w:t>, říká Pavel Šamonil, vedoucí jedné části začínajícího čtyřletého projektu. „</w:t>
      </w:r>
      <w:r>
        <w:rPr>
          <w:rStyle w:val="normaltextrun"/>
          <w:rFonts w:ascii="Calibri" w:eastAsiaTheme="majorEastAsia" w:hAnsi="Calibri" w:cs="Calibri"/>
          <w:i/>
          <w:iCs/>
        </w:rPr>
        <w:t>Naším úkolem bude zjistit, kde a jak dochází k největším synergiím, tj. ke zvyšování zásob uhlíku i biodiverzity současně; tedy kde ‚nedělat vůbec nic‘ bude nejvýhodnější“</w:t>
      </w:r>
      <w:r>
        <w:rPr>
          <w:rStyle w:val="normaltextrun"/>
          <w:rFonts w:ascii="Calibri" w:eastAsiaTheme="majorEastAsia" w:hAnsi="Calibri" w:cs="Calibri"/>
        </w:rPr>
        <w:t>, dodává k tomu Kamil Král. </w:t>
      </w:r>
      <w:r>
        <w:rPr>
          <w:rStyle w:val="eop"/>
          <w:rFonts w:ascii="Calibri" w:eastAsiaTheme="majorEastAsia" w:hAnsi="Calibri" w:cs="Calibri"/>
        </w:rPr>
        <w:t> </w:t>
      </w:r>
    </w:p>
    <w:p w14:paraId="751658A5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To že je ochrana starých lesů horké téma i přímo v České republice mimo jiné ukazují i další studie a nemalá mediální a společenská pozornost, které toto téma poutá. Za zmínku stojí např. nedávný </w:t>
      </w:r>
      <w:hyperlink r:id="rId14" w:tgtFrame="_blank" w:history="1">
        <w:r>
          <w:rPr>
            <w:rStyle w:val="normaltextrun"/>
            <w:rFonts w:ascii="Calibri" w:eastAsiaTheme="majorEastAsia" w:hAnsi="Calibri" w:cs="Calibri"/>
            <w:color w:val="0000FF"/>
            <w:u w:val="single"/>
          </w:rPr>
          <w:t>článek</w:t>
        </w:r>
      </w:hyperlink>
      <w:r>
        <w:rPr>
          <w:rStyle w:val="normaltextrun"/>
          <w:rFonts w:ascii="Calibri" w:eastAsiaTheme="majorEastAsia" w:hAnsi="Calibri" w:cs="Calibri"/>
        </w:rPr>
        <w:t xml:space="preserve"> o zatím téměř nechráněných starých lesích sledovaných vědeckou skupinou z ČZU, publikovaný v týdeníku Respekt, či připravované memorandum o</w:t>
      </w:r>
      <w:hyperlink r:id="rId15" w:tgtFrame="_blank" w:history="1">
        <w:r>
          <w:rPr>
            <w:rStyle w:val="normaltextrun"/>
            <w:rFonts w:ascii="Calibri" w:eastAsiaTheme="majorEastAsia" w:hAnsi="Calibri" w:cs="Calibri"/>
            <w:color w:val="0000FF"/>
            <w:u w:val="single"/>
          </w:rPr>
          <w:t xml:space="preserve"> vyváženém způsobu hospodaření ve starých bučinách Ždánického lesa a Chřibů</w:t>
        </w:r>
      </w:hyperlink>
      <w:r>
        <w:rPr>
          <w:rStyle w:val="normaltextrun"/>
          <w:rFonts w:ascii="Calibri" w:eastAsiaTheme="majorEastAsia" w:hAnsi="Calibri" w:cs="Calibri"/>
        </w:rPr>
        <w:t>.</w:t>
      </w:r>
      <w:r>
        <w:rPr>
          <w:rStyle w:val="eop"/>
          <w:rFonts w:ascii="Calibri" w:eastAsiaTheme="majorEastAsia" w:hAnsi="Calibri" w:cs="Calibri"/>
        </w:rPr>
        <w:t> </w:t>
      </w:r>
    </w:p>
    <w:p w14:paraId="7553B0A4" w14:textId="77777777" w:rsidR="00C71757" w:rsidRDefault="00376970" w:rsidP="00C7175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6" w:tgtFrame="_blank" w:history="1">
        <w:r w:rsidR="00C71757">
          <w:rPr>
            <w:rStyle w:val="normaltextrun"/>
            <w:rFonts w:ascii="Calibri" w:eastAsiaTheme="majorEastAsia" w:hAnsi="Calibri" w:cs="Calibri"/>
            <w:color w:val="0000FF"/>
          </w:rPr>
          <w:t xml:space="preserve">Pro více informací: </w:t>
        </w:r>
        <w:r w:rsidR="00C71757">
          <w:rPr>
            <w:rStyle w:val="normaltextrun"/>
            <w:rFonts w:ascii="Calibri" w:eastAsiaTheme="majorEastAsia" w:hAnsi="Calibri" w:cs="Calibri"/>
            <w:color w:val="0000FF"/>
            <w:u w:val="single"/>
          </w:rPr>
          <w:t>Původní studie na nature.com</w:t>
        </w:r>
      </w:hyperlink>
      <w:r w:rsidR="00C71757">
        <w:rPr>
          <w:rStyle w:val="normaltextrun"/>
          <w:rFonts w:ascii="Calibri" w:eastAsiaTheme="majorEastAsia" w:hAnsi="Calibri" w:cs="Calibri"/>
        </w:rPr>
        <w:t xml:space="preserve">; </w:t>
      </w:r>
      <w:hyperlink r:id="rId17" w:tgtFrame="_blank" w:history="1">
        <w:r w:rsidR="00C71757">
          <w:rPr>
            <w:rStyle w:val="normaltextrun"/>
            <w:rFonts w:ascii="Calibri" w:eastAsiaTheme="majorEastAsia" w:hAnsi="Calibri" w:cs="Calibri"/>
            <w:color w:val="0000FF"/>
            <w:u w:val="single"/>
          </w:rPr>
          <w:t>Politické dokumenty a strategie EU: Griffith University</w:t>
        </w:r>
      </w:hyperlink>
      <w:r w:rsidR="00C71757">
        <w:rPr>
          <w:rStyle w:val="normaltextrun"/>
          <w:rFonts w:ascii="Calibri" w:eastAsiaTheme="majorEastAsia" w:hAnsi="Calibri" w:cs="Calibri"/>
        </w:rPr>
        <w:t xml:space="preserve">; </w:t>
      </w:r>
      <w:hyperlink r:id="rId18" w:tgtFrame="_blank" w:history="1">
        <w:r w:rsidR="00C71757">
          <w:rPr>
            <w:rStyle w:val="normaltextrun"/>
            <w:rFonts w:ascii="Calibri" w:eastAsiaTheme="majorEastAsia" w:hAnsi="Calibri" w:cs="Calibri"/>
            <w:color w:val="0000FF"/>
            <w:u w:val="single"/>
          </w:rPr>
          <w:t>Strategie a priority Evropské komise: Zelená dohoda</w:t>
        </w:r>
      </w:hyperlink>
      <w:r w:rsidR="00C71757">
        <w:rPr>
          <w:rStyle w:val="normaltextrun"/>
          <w:rFonts w:ascii="Calibri" w:eastAsiaTheme="majorEastAsia" w:hAnsi="Calibri" w:cs="Calibri"/>
        </w:rPr>
        <w:t xml:space="preserve">; </w:t>
      </w:r>
      <w:hyperlink r:id="rId19" w:tgtFrame="_blank" w:history="1">
        <w:r w:rsidR="00C71757">
          <w:rPr>
            <w:rStyle w:val="normaltextrun"/>
            <w:rFonts w:ascii="Calibri" w:eastAsiaTheme="majorEastAsia" w:hAnsi="Calibri" w:cs="Calibri"/>
            <w:color w:val="0000FF"/>
            <w:u w:val="single"/>
          </w:rPr>
          <w:t>Strategie EU pro biologickou rozmanitost do roku 2030</w:t>
        </w:r>
      </w:hyperlink>
      <w:r w:rsidR="00C71757">
        <w:rPr>
          <w:rStyle w:val="eop"/>
          <w:rFonts w:ascii="Calibri" w:eastAsiaTheme="majorEastAsia" w:hAnsi="Calibri" w:cs="Calibri"/>
        </w:rPr>
        <w:t> </w:t>
      </w:r>
    </w:p>
    <w:p w14:paraId="26AC89C7" w14:textId="77777777" w:rsidR="00C71757" w:rsidRDefault="00C71757" w:rsidP="00C71757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42E570F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inorHAnsi" w:hAnsi="Segoe UI" w:cs="Segoe UI"/>
          <w:noProof/>
          <w:sz w:val="18"/>
          <w:szCs w:val="18"/>
        </w:rPr>
        <w:drawing>
          <wp:inline distT="0" distB="0" distL="0" distR="0" wp14:anchorId="0782FAF9" wp14:editId="46E2D0D6">
            <wp:extent cx="9525" cy="9525"/>
            <wp:effectExtent l="0" t="0" r="0" b="0"/>
            <wp:docPr id="158931467" name="Obrázek 1" descr="Obraz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c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eastAsiaTheme="majorEastAsia" w:hAnsi="Calibri" w:cs="Calibri"/>
        </w:rPr>
        <w:t> </w:t>
      </w:r>
    </w:p>
    <w:p w14:paraId="40CEA407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FAKTA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77889E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Informace o zásobách uhlíku v primárních a starých lesích je zásadní pro plnou funkčnost článku 5 Pařížské dohody, směřující ke stabilizaci koncentrace CO</w:t>
      </w:r>
      <w:r>
        <w:rPr>
          <w:rStyle w:val="normaltextrun"/>
          <w:rFonts w:ascii="Calibri" w:eastAsiaTheme="majorEastAsia" w:hAnsi="Calibri" w:cs="Calibri"/>
          <w:sz w:val="17"/>
          <w:szCs w:val="17"/>
          <w:vertAlign w:val="subscript"/>
        </w:rPr>
        <w:t>2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v atmosféře. Zásoba uhlíku v původních a starých přirozených lesích (přirozeně obnovené lesy stanovištně původních dřevin s vysokým stupněm přirozenosti a ekologického fungování) představuje potenciální uhlíkovou kapacitu ekosystému v krajinném měřítku. Potenciální kapacita zásoby uhlíku je ekologicky podložená referenční hodnota, která zajišťuje konzistentní informace o: i) ztrátě zásob uhlíku, ke které v minulosti došlo v důsledku lidské činnosti; ii) potenciálu zvýšení zásob uhlíku v lesích obnovou a ochranou starých lesů, což představuje upuštění od jejich dalšího obhospodařování a jejich trvalé ponechání samovolnému vývoji; a (iii) stanovení ztrát uhlíku v důsledku hospodaření.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C0FAB3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Vysoké zásoby uhlíku v původních a starých přirozených lesích jsou způsobeny přítomností velkých starých stromů. Ve všech studovaných lokalitách původních a přirozených starých lesů bylo 50 % kumulativní zásoby uhlíku v živé biomase obsaženo ve stromech o průměru větším než 60 cm (rozmezí 40 – 80 cm pro různé typy lesů). Dále přítomností mrtvého dřeva, které v takových lesích zůstává až do úplného zetlení (což může dle dřeviny, velikosti a přírodních podmínek činit od několika desítek let až do cca 100 let) a s tím spojenou vysokou zásobou uhlíku v půdách.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5E950B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Aby bylo možné využít potenciál evropských lesů ke zmírnění dopadů změny klimatu, je ochrana pralesů a ochrana a obnova přirozených starých lesů výborným řešením. Tyto lesy ukládají velké množství uhlíku ve stabilních a odolných ekosystémech. Ochrana a obnova těchto lesů zabraňuje uvolňování uhlíku do atmosféry v důsledku těžby dřeva a narušení půdy.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88B60A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Zvýšené ukládání uhlíku v lesích lze dosáhnout tím, že se stávajícím lesům umožní zestárnout tak, aby dosáhly maximální uhlíkové kapacity. Použití referenční úrovně uhlíkové nosné kapacity z původních lesů (pralesů) umožňuje odhadnout migitační potenciál plynoucí ze zvýšené ochrany stávajících lesů. Odhadované roční odstranění 309 Mt CO</w:t>
      </w:r>
      <w:r>
        <w:rPr>
          <w:rStyle w:val="normaltextrun"/>
          <w:rFonts w:ascii="Calibri" w:eastAsiaTheme="majorEastAsia" w:hAnsi="Calibri" w:cs="Calibri"/>
          <w:sz w:val="17"/>
          <w:szCs w:val="17"/>
          <w:vertAlign w:val="subscript"/>
        </w:rPr>
        <w:t>2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prostřednictvím ochrany, obnovy a pokračujícího růstu stávajících lesů je vyšší než aktuálně odhadované množství uhlíku poutané v lesích v EU (2021: 289 Mt CO</w:t>
      </w:r>
      <w:r>
        <w:rPr>
          <w:rStyle w:val="normaltextrun"/>
          <w:rFonts w:ascii="Calibri" w:eastAsiaTheme="majorEastAsia" w:hAnsi="Calibri" w:cs="Calibri"/>
          <w:sz w:val="17"/>
          <w:szCs w:val="17"/>
          <w:vertAlign w:val="subscript"/>
        </w:rPr>
        <w:t>2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). Toto množství je zároveň srovnatelné s cíli obsaženými v Geen Deal (odstranění 310 Mt CO</w:t>
      </w:r>
      <w:r>
        <w:rPr>
          <w:rStyle w:val="normaltextrun"/>
          <w:rFonts w:ascii="Calibri" w:eastAsiaTheme="majorEastAsia" w:hAnsi="Calibri" w:cs="Calibri"/>
          <w:sz w:val="17"/>
          <w:szCs w:val="17"/>
          <w:vertAlign w:val="subscript"/>
        </w:rPr>
        <w:t>2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 rok 2030).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BC7ED1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Zvýšení ukládání uhlíku ve starých lesích je proto vynikající, a přitom jednoduchou strategií zmírňování klimatické změny. Přirozené lesy ponechané samovolnému vývoji poskytují kromě vysoké záruky bezpečného zadržování uhlíku i vysokou biologickou rozmanitost a další ekosystémové funkce, např. zadržování vody v krajině.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59E1F5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33E3929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RELEVANTNÍ POLITICKÉ STRATEGIE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523CCD6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Strategie pro biologickou rozmanitost Green Deal do roku 2030 (</w:t>
      </w:r>
      <w:hyperlink r:id="rId21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https://environment.ec.europa.eu/strategy/biodiversity-strategy-2030_en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)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975F9A6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Cíle zelené iniciativy EU: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DF708DB" w14:textId="77777777" w:rsidR="00C71757" w:rsidRDefault="00C71757" w:rsidP="00C7175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Potřeba co nejdříve zmapovat a chránit pralesy a lesy s dlouhou kontinuitou vývoje. </w:t>
      </w:r>
      <w:hyperlink r:id="rId22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https://environment.ec.europa.eu/publications/guidelines-defining-mapping-monitoring-and-strictly-protecting-eu-primary-and-old-growth-forests_en</w:t>
        </w:r>
      </w:hyperlink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1B9232" w14:textId="77777777" w:rsidR="00C71757" w:rsidRDefault="00C71757" w:rsidP="00C7175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Konkretizace území, ve kterých by státy EU měly rozšířit stávající oblasti Natura 2000 (30 %) s přísnou ochranou a oblastí s velmi vysokou biodiverzitou a klimatickou hodnotou (10 %).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C483CB" w14:textId="77777777" w:rsidR="00C71757" w:rsidRDefault="00C71757" w:rsidP="00C7175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Obnova rozsahu a funkčnosti lesních ekosystémů – dosažení pozitivního trendu u ukazatelů stavu lesních ekosystémů včetně stojícího a ležícího mrtvého dřeva, nerovnoměrného stáří lesů, propojenosti lesů, množství běžného lesního ptactva a zásoby organického uhlíku v celém ekosystému včetně půd.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00F7B5" w14:textId="77777777" w:rsidR="00C71757" w:rsidRDefault="00C71757" w:rsidP="00C7175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Zákon EU o obnově přírody čeká na konečné schválení v Radě Evropy </w:t>
      </w:r>
      <w:hyperlink r:id="rId23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https://environment.ec.europa.eu/topics/nature-and-biodiversity/nature-restoration-law_en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ale je zamrzlý </w:t>
      </w:r>
      <w:hyperlink r:id="rId24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https://www.greenpeace.org/eu-unit/issues/nature-food/47023/governments-freeze-eu-nature-restoration-law/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2BC958" w14:textId="77777777" w:rsidR="00C71757" w:rsidRDefault="00C71757" w:rsidP="00C7175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Zákon o monitorování lesů navržený Komisí s cílem zaplnit stávající mezery v informacích o evropských lesích a vytvořit komplexní znalostní základnu o lesích </w:t>
      </w:r>
      <w:hyperlink r:id="rId25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https://ec.europa.eu/commission/presscorner/detail/en/ip_23_5909</w:t>
        </w:r>
      </w:hyperlink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DD83911" w14:textId="77777777" w:rsidR="00C71757" w:rsidRDefault="00C71757" w:rsidP="00C7175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Přírodě blízké pokyny pro lesnictví jsou schváleny </w:t>
      </w:r>
      <w:hyperlink r:id="rId26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https://environment.ec.europa.eu/publications/guidelines-closer-nature-forest-management_en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.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122401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Nyní byly vytvořeny kvalifikované cíle EU pro efektivní plánování a řízení přírodě blízkého lesnictví, protože staré klasické cíle byly založeny na porostech, které postrádaly velké stromy.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FC2A9C" w14:textId="77777777" w:rsidR="00C71757" w:rsidRDefault="00C71757" w:rsidP="00C717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CBD Global Biodiversity Framework: </w:t>
      </w:r>
      <w:hyperlink r:id="rId27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https://www.cbd.int/gbf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1FB5A0B" w14:textId="77777777" w:rsidR="00C71757" w:rsidRDefault="00C71757" w:rsidP="00C7175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CA4E63" w14:textId="77777777" w:rsidR="00D518F6" w:rsidRDefault="00D518F6" w:rsidP="00D518F6">
      <w:pPr>
        <w:pStyle w:val="paragraph"/>
        <w:spacing w:before="0" w:after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555616E7" w14:textId="77777777" w:rsidR="00D518F6" w:rsidRDefault="00D518F6" w:rsidP="00D518F6">
      <w:pPr>
        <w:pStyle w:val="paragraph"/>
        <w:spacing w:before="0" w:after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040C156E" w14:textId="77777777" w:rsidR="00D518F6" w:rsidRDefault="00D518F6" w:rsidP="00D518F6">
      <w:pPr>
        <w:pStyle w:val="paragraph"/>
        <w:spacing w:before="0" w:after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73A85D2E" w14:textId="05052924" w:rsidR="00C71757" w:rsidRPr="00F55F40" w:rsidRDefault="00376970" w:rsidP="00C71757">
      <w:pPr>
        <w:rPr>
          <w:rFonts w:cstheme="minorHAnsi"/>
          <w:b/>
          <w:noProof/>
          <w:sz w:val="16"/>
          <w:szCs w:val="16"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80772" wp14:editId="791271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9079171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050B6" w14:textId="77777777" w:rsidR="00376970" w:rsidRPr="008F3404" w:rsidRDefault="00376970" w:rsidP="008F3404">
                            <w:pPr>
                              <w:pStyle w:val="paragraph"/>
                              <w:spacing w:after="0"/>
                              <w:textAlignment w:val="baseline"/>
                              <w:rPr>
                                <w:rFonts w:ascii="Calibri" w:eastAsiaTheme="majorEastAsia" w:hAnsi="Calibri" w:cs="Calibri"/>
                              </w:rPr>
                            </w:pPr>
                            <w:r w:rsidRPr="009A6FBB"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>Kontakt:</w:t>
                            </w: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 xml:space="preserve"> Miroslav Svoboda </w:t>
                            </w:r>
                            <w:hyperlink r:id="rId28" w:tgtFrame="_blank" w:history="1">
                              <w:r>
                                <w:rPr>
                                  <w:rStyle w:val="normaltextrun"/>
                                  <w:rFonts w:ascii="Calibri" w:eastAsiaTheme="majorEastAsia" w:hAnsi="Calibri" w:cs="Calibri"/>
                                  <w:color w:val="0000FF"/>
                                  <w:u w:val="single"/>
                                </w:rPr>
                                <w:t>svobodam@fld.czu.cz</w:t>
                              </w:r>
                            </w:hyperlink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 xml:space="preserve">; Pavel Šamonil </w:t>
                            </w:r>
                            <w:hyperlink r:id="rId29" w:tgtFrame="_blank" w:history="1">
                              <w:r>
                                <w:rPr>
                                  <w:rStyle w:val="normaltextrun"/>
                                  <w:rFonts w:ascii="Calibri" w:eastAsiaTheme="majorEastAsia" w:hAnsi="Calibri" w:cs="Calibri"/>
                                  <w:color w:val="0000FF"/>
                                  <w:u w:val="single"/>
                                </w:rPr>
                                <w:t>samonil@vukoz.cz</w:t>
                              </w:r>
                            </w:hyperlink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 xml:space="preserve">; Kamil Král </w:t>
                            </w:r>
                            <w:hyperlink r:id="rId30" w:tgtFrame="_blank" w:history="1">
                              <w:r>
                                <w:rPr>
                                  <w:rStyle w:val="normaltextrun"/>
                                  <w:rFonts w:ascii="Calibri" w:eastAsiaTheme="majorEastAsia" w:hAnsi="Calibri" w:cs="Calibri"/>
                                  <w:color w:val="0000FF"/>
                                  <w:u w:val="single"/>
                                </w:rPr>
                                <w:t>kral@vukoz.cz</w:t>
                              </w:r>
                            </w:hyperlink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8077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fill o:detectmouseclick="t"/>
                <v:textbox style="mso-fit-shape-to-text:t">
                  <w:txbxContent>
                    <w:p w14:paraId="376050B6" w14:textId="77777777" w:rsidR="00376970" w:rsidRPr="008F3404" w:rsidRDefault="00376970" w:rsidP="008F3404">
                      <w:pPr>
                        <w:pStyle w:val="paragraph"/>
                        <w:spacing w:after="0"/>
                        <w:textAlignment w:val="baseline"/>
                        <w:rPr>
                          <w:rFonts w:ascii="Calibri" w:eastAsiaTheme="majorEastAsia" w:hAnsi="Calibri" w:cs="Calibri"/>
                        </w:rPr>
                      </w:pPr>
                      <w:r w:rsidRPr="009A6FBB">
                        <w:rPr>
                          <w:rStyle w:val="normaltextrun"/>
                          <w:rFonts w:ascii="Calibri" w:eastAsiaTheme="majorEastAsia" w:hAnsi="Calibri" w:cs="Calibri"/>
                        </w:rPr>
                        <w:t>Kontakt:</w:t>
                      </w:r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 xml:space="preserve"> Miroslav Svoboda </w:t>
                      </w:r>
                      <w:hyperlink r:id="rId31" w:tgtFrame="_blank" w:history="1">
                        <w:r>
                          <w:rPr>
                            <w:rStyle w:val="normaltextrun"/>
                            <w:rFonts w:ascii="Calibri" w:eastAsiaTheme="majorEastAsia" w:hAnsi="Calibri" w:cs="Calibri"/>
                            <w:color w:val="0000FF"/>
                            <w:u w:val="single"/>
                          </w:rPr>
                          <w:t>svobodam@fld.czu.cz</w:t>
                        </w:r>
                      </w:hyperlink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 xml:space="preserve">; Pavel Šamonil </w:t>
                      </w:r>
                      <w:hyperlink r:id="rId32" w:tgtFrame="_blank" w:history="1">
                        <w:r>
                          <w:rPr>
                            <w:rStyle w:val="normaltextrun"/>
                            <w:rFonts w:ascii="Calibri" w:eastAsiaTheme="majorEastAsia" w:hAnsi="Calibri" w:cs="Calibri"/>
                            <w:color w:val="0000FF"/>
                            <w:u w:val="single"/>
                          </w:rPr>
                          <w:t>samonil@vukoz.cz</w:t>
                        </w:r>
                      </w:hyperlink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 xml:space="preserve">; Kamil Král </w:t>
                      </w:r>
                      <w:hyperlink r:id="rId33" w:tgtFrame="_blank" w:history="1">
                        <w:r>
                          <w:rPr>
                            <w:rStyle w:val="normaltextrun"/>
                            <w:rFonts w:ascii="Calibri" w:eastAsiaTheme="majorEastAsia" w:hAnsi="Calibri" w:cs="Calibri"/>
                            <w:color w:val="0000FF"/>
                            <w:u w:val="single"/>
                          </w:rPr>
                          <w:t>kral@vukoz.cz</w:t>
                        </w:r>
                      </w:hyperlink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> 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757" w:rsidRPr="008E506F">
        <w:rPr>
          <w:rFonts w:cstheme="minorHAnsi"/>
          <w:b/>
          <w:noProof/>
          <w:lang w:eastAsia="ar-SA"/>
        </w:rPr>
        <w:t>-------------------------------------------------------------------------------------------------------------------------</w:t>
      </w:r>
      <w:r w:rsidR="00C71757" w:rsidRPr="00F55F40">
        <w:rPr>
          <w:rFonts w:cstheme="minorHAnsi"/>
          <w:b/>
          <w:noProof/>
          <w:sz w:val="16"/>
          <w:szCs w:val="16"/>
          <w:lang w:eastAsia="ar-SA"/>
        </w:rPr>
        <w:t xml:space="preserve">Česká zemědělská univerzita v Praze </w:t>
      </w:r>
    </w:p>
    <w:p w14:paraId="1D0BA958" w14:textId="77777777" w:rsidR="00C71757" w:rsidRPr="004E37CC" w:rsidRDefault="00C71757" w:rsidP="00C71757">
      <w:pPr>
        <w:jc w:val="both"/>
        <w:rPr>
          <w:rFonts w:cstheme="minorHAnsi"/>
          <w:noProof/>
          <w:sz w:val="18"/>
          <w:szCs w:val="18"/>
        </w:rPr>
      </w:pPr>
      <w:r w:rsidRPr="004E37CC">
        <w:rPr>
          <w:rFonts w:cstheme="minorHAnsi"/>
          <w:noProof/>
          <w:sz w:val="18"/>
          <w:szCs w:val="18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</w:t>
      </w:r>
      <w:bookmarkStart w:id="0" w:name="_Hlk162511203"/>
      <w:r w:rsidRPr="004E37CC">
        <w:rPr>
          <w:rFonts w:cstheme="minorHAnsi"/>
          <w:noProof/>
          <w:sz w:val="18"/>
          <w:szCs w:val="18"/>
          <w:lang w:eastAsia="ar-SA"/>
        </w:rPr>
        <w:t>–</w:t>
      </w:r>
      <w:bookmarkEnd w:id="0"/>
      <w:r w:rsidRPr="004E37CC">
        <w:rPr>
          <w:rFonts w:cstheme="minorHAnsi"/>
          <w:noProof/>
          <w:sz w:val="18"/>
          <w:szCs w:val="18"/>
          <w:lang w:eastAsia="ar-SA"/>
        </w:rPr>
        <w:t>700.</w:t>
      </w:r>
      <w:r w:rsidRPr="004E37CC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r w:rsidRPr="004E37CC">
        <w:rPr>
          <w:rFonts w:cstheme="minorHAnsi"/>
          <w:noProof/>
          <w:sz w:val="18"/>
          <w:szCs w:val="18"/>
          <w:lang w:eastAsia="ar-SA"/>
        </w:rPr>
        <w:t>místě na světě a na sdíleném 4. místě z hodnocených univerzit v ČR. V roce 2023 se ČZU se stala 36. nejekologičtější univerzitou na světě díky umístění v žebříčku UI Green Metric World University Rankings.</w:t>
      </w:r>
      <w:r>
        <w:rPr>
          <w:rFonts w:cstheme="minorHAnsi"/>
          <w:noProof/>
          <w:sz w:val="18"/>
          <w:szCs w:val="18"/>
          <w:lang w:eastAsia="ar-SA"/>
        </w:rPr>
        <w:t xml:space="preserve"> </w:t>
      </w:r>
    </w:p>
    <w:p w14:paraId="636C63B7" w14:textId="77777777" w:rsidR="00C71757" w:rsidRDefault="00C71757" w:rsidP="00C71757">
      <w:pPr>
        <w:pStyle w:val="Zpat"/>
        <w:rPr>
          <w:rStyle w:val="Hypertextovodkaz"/>
          <w:rFonts w:asciiTheme="minorHAnsi" w:hAnsiTheme="minorHAnsi" w:cstheme="minorHAnsi"/>
          <w:noProof/>
          <w:sz w:val="16"/>
          <w:szCs w:val="16"/>
        </w:rPr>
      </w:pPr>
      <w:r w:rsidRPr="00F55F40">
        <w:rPr>
          <w:rFonts w:cstheme="minorHAnsi"/>
          <w:b/>
          <w:noProof/>
          <w:sz w:val="16"/>
          <w:szCs w:val="16"/>
        </w:rPr>
        <w:t>Kontakt pro novináře:</w:t>
      </w:r>
      <w:r>
        <w:rPr>
          <w:rFonts w:cstheme="minorHAnsi"/>
          <w:b/>
          <w:noProof/>
          <w:sz w:val="16"/>
          <w:szCs w:val="16"/>
        </w:rPr>
        <w:t xml:space="preserve"> </w:t>
      </w:r>
      <w:r w:rsidRPr="00F55F40">
        <w:rPr>
          <w:rStyle w:val="Hypertextovodkaz"/>
          <w:rFonts w:asciiTheme="minorHAnsi" w:hAnsiTheme="minorHAnsi" w:cstheme="minorHAnsi"/>
          <w:noProof/>
          <w:sz w:val="16"/>
          <w:szCs w:val="16"/>
        </w:rPr>
        <w:t xml:space="preserve">Karla Mráčková, tisková mluvčí ČZU, +420 603 203 703; </w:t>
      </w:r>
      <w:hyperlink r:id="rId34" w:history="1">
        <w:r w:rsidRPr="00F55F40">
          <w:rPr>
            <w:rStyle w:val="Hypertextovodkaz"/>
            <w:rFonts w:asciiTheme="minorHAnsi" w:hAnsiTheme="minorHAnsi" w:cstheme="minorHAnsi"/>
            <w:noProof/>
            <w:sz w:val="16"/>
            <w:szCs w:val="16"/>
          </w:rPr>
          <w:t>mrackovak@rektorat.czu.cz</w:t>
        </w:r>
      </w:hyperlink>
    </w:p>
    <w:p w14:paraId="503A6003" w14:textId="77777777" w:rsidR="00C71757" w:rsidRPr="00F55F40" w:rsidRDefault="00C71757" w:rsidP="00C71757">
      <w:pPr>
        <w:pBdr>
          <w:bottom w:val="single" w:sz="6" w:space="1" w:color="auto"/>
        </w:pBdr>
        <w:spacing w:line="240" w:lineRule="auto"/>
        <w:jc w:val="both"/>
        <w:rPr>
          <w:rFonts w:cstheme="minorHAnsi"/>
          <w:b/>
          <w:noProof/>
          <w:sz w:val="16"/>
          <w:szCs w:val="16"/>
        </w:rPr>
      </w:pPr>
      <w:r w:rsidRPr="00F55F40">
        <w:rPr>
          <w:rFonts w:cstheme="minorHAnsi"/>
          <w:b/>
          <w:noProof/>
          <w:sz w:val="16"/>
          <w:szCs w:val="16"/>
        </w:rPr>
        <w:tab/>
      </w:r>
    </w:p>
    <w:p w14:paraId="6A822895" w14:textId="77777777" w:rsidR="001C6577" w:rsidRDefault="001C6577"/>
    <w:sectPr w:rsidR="001C6577" w:rsidSect="00C71757">
      <w:headerReference w:type="default" r:id="rId35"/>
      <w:headerReference w:type="first" r:id="rId36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38138" w14:textId="77777777" w:rsidR="00376970" w:rsidRDefault="00376970">
      <w:pPr>
        <w:spacing w:after="0" w:line="240" w:lineRule="auto"/>
      </w:pPr>
      <w:r>
        <w:separator/>
      </w:r>
    </w:p>
  </w:endnote>
  <w:endnote w:type="continuationSeparator" w:id="0">
    <w:p w14:paraId="764BCBCB" w14:textId="77777777" w:rsidR="00376970" w:rsidRDefault="0037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73357" w14:textId="77777777" w:rsidR="00376970" w:rsidRDefault="00376970">
      <w:pPr>
        <w:spacing w:after="0" w:line="240" w:lineRule="auto"/>
      </w:pPr>
      <w:r>
        <w:separator/>
      </w:r>
    </w:p>
  </w:footnote>
  <w:footnote w:type="continuationSeparator" w:id="0">
    <w:p w14:paraId="36320110" w14:textId="77777777" w:rsidR="00376970" w:rsidRDefault="0037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F92A6" w14:textId="593E5729" w:rsidR="00D30C85" w:rsidRPr="00091D49" w:rsidRDefault="0037697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C71757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B869535" wp14:editId="3A408BC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0"/>
                  <wp:wrapNone/>
                  <wp:docPr id="639942253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E61B35" w14:textId="77777777" w:rsidR="00D30C85" w:rsidRDefault="00D30C8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869535" id="Obdélník 1" o:spid="_x0000_s1027" style="position:absolute;margin-left:5.5pt;margin-top:0;width:56.7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oGOXWt0AAAAEAQAADwAAAGRycy9kb3ducmV2LnhtbEyP&#10;zWrDMBCE74W+g9hCLyWR3Z/QOJZDaUkJBApJSntVrK1tIq2MtXGct6/SS3NZGGaY+TafD86KHrvQ&#10;eFKQjhMQSKU3DVUKPreL0TOIwJqMtp5QwQkDzIvrq1xnxh9pjf2GKxFLKGRaQc3cZlKGskanw9i3&#10;SNH78Z3THGVXSdPpYyx3Vt4nyUQ63VBcqHWLrzWW+83BKdh/G/7olzyslu3izr192fXp3Sp1ezO8&#10;zEAwDvwfhjN+RIciMu38gUwQVkF8hP/u2UsfHkHsFDylU5BFLi/hi18AAAD//wMAUEsBAi0AFAAG&#10;AAgAAAAhALaDOJL+AAAA4QEAABMAAAAAAAAAAAAAAAAAAAAAAFtDb250ZW50X1R5cGVzXS54bWxQ&#10;SwECLQAUAAYACAAAACEAOP0h/9YAAACUAQAACwAAAAAAAAAAAAAAAAAvAQAAX3JlbHMvLnJlbHNQ&#10;SwECLQAUAAYACAAAACEAJvwA8+sBAAC/AwAADgAAAAAAAAAAAAAAAAAuAgAAZHJzL2Uyb0RvYy54&#10;bWxQSwECLQAUAAYACAAAACEAoGOXWt0AAAAEAQAADwAAAAAAAAAAAAAAAABFBAAAZHJzL2Rvd25y&#10;ZXYueG1sUEsFBgAAAAAEAAQA8wAAAE8FAAAAAA==&#10;" o:allowincell="f" stroked="f">
                  <v:textbox>
                    <w:txbxContent>
                      <w:p w14:paraId="65E61B35" w14:textId="77777777" w:rsidR="00D30C85" w:rsidRDefault="00D30C8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30C85">
      <w:rPr>
        <w:noProof/>
      </w:rPr>
      <w:drawing>
        <wp:anchor distT="0" distB="0" distL="114300" distR="114300" simplePos="0" relativeHeight="251655680" behindDoc="1" locked="1" layoutInCell="1" allowOverlap="1" wp14:anchorId="25170E57" wp14:editId="008DD6D5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478B" w14:textId="77777777" w:rsidR="00D30C85" w:rsidRDefault="00D30C85">
    <w:pPr>
      <w:pStyle w:val="Zhlav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C7757D5" wp14:editId="697177E5">
          <wp:simplePos x="0" y="0"/>
          <wp:positionH relativeFrom="margin">
            <wp:align>right</wp:align>
          </wp:positionH>
          <wp:positionV relativeFrom="paragraph">
            <wp:posOffset>-999490</wp:posOffset>
          </wp:positionV>
          <wp:extent cx="776400" cy="1065609"/>
          <wp:effectExtent l="0" t="0" r="5080" b="1270"/>
          <wp:wrapNone/>
          <wp:docPr id="350272030" name="Obrázek 8" descr="Obsah obrázku Písmo, Grafika, symbol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272030" name="Obrázek 8" descr="Obsah obrázku Písmo, Grafika, symbol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0" cy="10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4111789D" wp14:editId="564CF281">
          <wp:simplePos x="0" y="0"/>
          <wp:positionH relativeFrom="page">
            <wp:posOffset>-19050</wp:posOffset>
          </wp:positionH>
          <wp:positionV relativeFrom="page">
            <wp:posOffset>-85725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348"/>
    <w:multiLevelType w:val="multilevel"/>
    <w:tmpl w:val="D936A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A0AF3"/>
    <w:multiLevelType w:val="multilevel"/>
    <w:tmpl w:val="7E46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8630B"/>
    <w:multiLevelType w:val="multilevel"/>
    <w:tmpl w:val="F67EE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1253E"/>
    <w:multiLevelType w:val="multilevel"/>
    <w:tmpl w:val="02168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F55E9"/>
    <w:multiLevelType w:val="multilevel"/>
    <w:tmpl w:val="43FA2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C4109D"/>
    <w:multiLevelType w:val="multilevel"/>
    <w:tmpl w:val="0938F0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127085">
    <w:abstractNumId w:val="1"/>
  </w:num>
  <w:num w:numId="2" w16cid:durableId="1868253881">
    <w:abstractNumId w:val="2"/>
  </w:num>
  <w:num w:numId="3" w16cid:durableId="1797680777">
    <w:abstractNumId w:val="3"/>
  </w:num>
  <w:num w:numId="4" w16cid:durableId="1600677995">
    <w:abstractNumId w:val="4"/>
  </w:num>
  <w:num w:numId="5" w16cid:durableId="435563490">
    <w:abstractNumId w:val="0"/>
  </w:num>
  <w:num w:numId="6" w16cid:durableId="1201821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57"/>
    <w:rsid w:val="00026540"/>
    <w:rsid w:val="00056C77"/>
    <w:rsid w:val="000D2EC3"/>
    <w:rsid w:val="001C6577"/>
    <w:rsid w:val="00376970"/>
    <w:rsid w:val="006A5140"/>
    <w:rsid w:val="0081052A"/>
    <w:rsid w:val="009C25B9"/>
    <w:rsid w:val="00C71757"/>
    <w:rsid w:val="00D30C85"/>
    <w:rsid w:val="00D5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FA1C7"/>
  <w15:chartTrackingRefBased/>
  <w15:docId w15:val="{CF42BE75-855D-4488-B896-AE3B5076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757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C7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17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17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17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17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17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17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17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17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17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17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175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1757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71757"/>
    <w:rPr>
      <w:rFonts w:ascii="Roboto" w:eastAsia="Times New Roman" w:hAnsi="Roboto" w:cs="Times New Roman"/>
      <w:kern w:val="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1757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71757"/>
    <w:rPr>
      <w:rFonts w:ascii="Roboto" w:eastAsia="Times New Roman" w:hAnsi="Roboto" w:cs="Times New Roman"/>
      <w:kern w:val="0"/>
      <w:szCs w:val="24"/>
      <w:lang w:eastAsia="cs-CZ"/>
    </w:rPr>
  </w:style>
  <w:style w:type="paragraph" w:customStyle="1" w:styleId="Tiskovka">
    <w:name w:val="Tiskovka"/>
    <w:basedOn w:val="Normln"/>
    <w:link w:val="TiskovkaChar"/>
    <w:qFormat/>
    <w:rsid w:val="00C71757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 Medium" w:hAnsi="Roboto Medium" w:cs="Roboto"/>
      <w:color w:val="A6A6A6" w:themeColor="background1" w:themeShade="A6"/>
      <w:sz w:val="60"/>
      <w:szCs w:val="28"/>
    </w:rPr>
  </w:style>
  <w:style w:type="character" w:customStyle="1" w:styleId="TiskovkaChar">
    <w:name w:val="Tiskovka Char"/>
    <w:basedOn w:val="Standardnpsmoodstavce"/>
    <w:link w:val="Tiskovka"/>
    <w:rsid w:val="00C71757"/>
    <w:rPr>
      <w:rFonts w:ascii="Roboto Medium" w:hAnsi="Roboto Medium" w:cs="Roboto"/>
      <w:color w:val="A6A6A6" w:themeColor="background1" w:themeShade="A6"/>
      <w:kern w:val="0"/>
      <w:sz w:val="60"/>
      <w:szCs w:val="28"/>
    </w:rPr>
  </w:style>
  <w:style w:type="paragraph" w:customStyle="1" w:styleId="paragraph">
    <w:name w:val="paragraph"/>
    <w:basedOn w:val="Normln"/>
    <w:rsid w:val="00C7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71757"/>
  </w:style>
  <w:style w:type="character" w:styleId="Hypertextovodkaz">
    <w:name w:val="Hyperlink"/>
    <w:uiPriority w:val="99"/>
    <w:rsid w:val="00C71757"/>
    <w:rPr>
      <w:color w:val="0000FF"/>
      <w:u w:val="single"/>
    </w:rPr>
  </w:style>
  <w:style w:type="character" w:customStyle="1" w:styleId="eop">
    <w:name w:val="eop"/>
    <w:basedOn w:val="Standardnpsmoodstavce"/>
    <w:rsid w:val="00C71757"/>
  </w:style>
  <w:style w:type="character" w:customStyle="1" w:styleId="wacimagecontainer">
    <w:name w:val="wacimagecontainer"/>
    <w:basedOn w:val="Standardnpsmoodstavce"/>
    <w:rsid w:val="00C71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strategy-and-policy/priorities-2019-2024/european-green-deal_en" TargetMode="External"/><Relationship Id="rId13" Type="http://schemas.openxmlformats.org/officeDocument/2006/relationships/hyperlink" Target="https://wildcard-project.eu/" TargetMode="External"/><Relationship Id="rId18" Type="http://schemas.openxmlformats.org/officeDocument/2006/relationships/hyperlink" Target="https://commission.europa.eu/strategy-and-policy/priorities-2019-2024/european-green-deal_en" TargetMode="External"/><Relationship Id="rId26" Type="http://schemas.openxmlformats.org/officeDocument/2006/relationships/hyperlink" Target="https://environment.ec.europa.eu/publications/guidelines-closer-nature-forest-management_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vironment.ec.europa.eu/strategy/biodiversity-strategy-2030_en" TargetMode="External"/><Relationship Id="rId34" Type="http://schemas.openxmlformats.org/officeDocument/2006/relationships/hyperlink" Target="mailto:mrackovak@rektorat.czu.cz" TargetMode="External"/><Relationship Id="rId7" Type="http://schemas.openxmlformats.org/officeDocument/2006/relationships/hyperlink" Target="https://www.nature.com/articles/s43247-024-01416-5" TargetMode="External"/><Relationship Id="rId12" Type="http://schemas.openxmlformats.org/officeDocument/2006/relationships/hyperlink" Target="https://www.eea.europa.eu/publications/state-of-nature-in-the-eu-2020" TargetMode="External"/><Relationship Id="rId17" Type="http://schemas.openxmlformats.org/officeDocument/2006/relationships/hyperlink" Target="https://www.griffith.edu.au/__data/assets/pdf_file/0043/1966849/CAB-Policy-Brief_Europe-Primary-Forests-Carbon-2024.pdf" TargetMode="External"/><Relationship Id="rId25" Type="http://schemas.openxmlformats.org/officeDocument/2006/relationships/hyperlink" Target="https://ec.europa.eu/commission/presscorner/detail/en/ip_23_5909" TargetMode="External"/><Relationship Id="rId33" Type="http://schemas.openxmlformats.org/officeDocument/2006/relationships/hyperlink" Target="mailto:kral@vukoz.cz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ature.com/articles/s43247-024-01416-5" TargetMode="External"/><Relationship Id="rId20" Type="http://schemas.openxmlformats.org/officeDocument/2006/relationships/image" Target="media/image1.png"/><Relationship Id="rId29" Type="http://schemas.openxmlformats.org/officeDocument/2006/relationships/hyperlink" Target="mailto:samonil@vukoz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gupubs.onlinelibrary.wiley.com/doi/full/10.1029/2022EF003221" TargetMode="External"/><Relationship Id="rId24" Type="http://schemas.openxmlformats.org/officeDocument/2006/relationships/hyperlink" Target="https://www.greenpeace.org/eu-unit/issues/nature-food/47023/governments-freeze-eu-nature-restoration-law/" TargetMode="External"/><Relationship Id="rId32" Type="http://schemas.openxmlformats.org/officeDocument/2006/relationships/hyperlink" Target="mailto:samonil@vukoz.cz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esycr.cz/tiskova-zprava/lesnici-vedci-i-zastupci-ministerstev-ochrany-prirody-a-obci-se-shodli-na-vyvazenem-zpusobu-hospodareni-ve-zdanickem-lese-a-chribech/" TargetMode="External"/><Relationship Id="rId23" Type="http://schemas.openxmlformats.org/officeDocument/2006/relationships/hyperlink" Target="https://environment.ec.europa.eu/topics/nature-and-biodiversity/nature-restoration-law_en" TargetMode="External"/><Relationship Id="rId28" Type="http://schemas.openxmlformats.org/officeDocument/2006/relationships/hyperlink" Target="mailto:svobodam@fld.czu.cz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environment.ec.europa.eu/strategy/biodiversity-strategy-2030_en" TargetMode="External"/><Relationship Id="rId19" Type="http://schemas.openxmlformats.org/officeDocument/2006/relationships/hyperlink" Target="https://environment.ec.europa.eu/strategy/biodiversity-strategy-2030_en" TargetMode="External"/><Relationship Id="rId31" Type="http://schemas.openxmlformats.org/officeDocument/2006/relationships/hyperlink" Target="mailto:svobodam@fld.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iffith.edu.au/__data/assets/pdf_file/0043/1966849/CAB-Policy-Brief_Europe-Primary-Forests-Carbon-2024.pdf" TargetMode="External"/><Relationship Id="rId14" Type="http://schemas.openxmlformats.org/officeDocument/2006/relationships/hyperlink" Target="https://www.respekt.cz/tydenik/2024/14/objeveni-ctyrsetletych-buku-pripomina-ze-zdejsi-lesy-jsou-starsi-a-dulezitejsi-nez-si-myslime" TargetMode="External"/><Relationship Id="rId22" Type="http://schemas.openxmlformats.org/officeDocument/2006/relationships/hyperlink" Target="https://environment.ec.europa.eu/publications/guidelines-defining-mapping-monitoring-and-strictly-protecting-eu-primary-and-old-growth-forests_en" TargetMode="External"/><Relationship Id="rId27" Type="http://schemas.openxmlformats.org/officeDocument/2006/relationships/hyperlink" Target="https://www.cbd.int/gbf" TargetMode="External"/><Relationship Id="rId30" Type="http://schemas.openxmlformats.org/officeDocument/2006/relationships/hyperlink" Target="mailto:kral@vukoz.cz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1817</Words>
  <Characters>10721</Characters>
  <Application>Microsoft Office Word</Application>
  <DocSecurity>0</DocSecurity>
  <Lines>89</Lines>
  <Paragraphs>25</Paragraphs>
  <ScaleCrop>false</ScaleCrop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6</cp:revision>
  <dcterms:created xsi:type="dcterms:W3CDTF">2024-06-03T10:22:00Z</dcterms:created>
  <dcterms:modified xsi:type="dcterms:W3CDTF">2024-06-03T11:23:00Z</dcterms:modified>
</cp:coreProperties>
</file>