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F2844" w14:textId="266714FF" w:rsidR="002D4927" w:rsidRPr="006C6B4E" w:rsidRDefault="00080B21" w:rsidP="00D75B9D">
      <w:pPr>
        <w:pStyle w:val="TextA"/>
        <w:jc w:val="center"/>
        <w:rPr>
          <w:rFonts w:ascii="Calibri" w:eastAsia="Calibri" w:hAnsi="Calibri" w:cs="Calibri"/>
          <w:b/>
          <w:bCs/>
          <w:noProof/>
          <w:sz w:val="36"/>
          <w:szCs w:val="36"/>
        </w:rPr>
      </w:pPr>
      <w:r w:rsidRPr="006C6B4E"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6C6B4E">
        <w:rPr>
          <w:rFonts w:ascii="Calibri" w:hAnsi="Calibri"/>
          <w:b/>
          <w:bCs/>
          <w:noProof/>
          <w:sz w:val="28"/>
          <w:szCs w:val="28"/>
        </w:rPr>
        <w:t xml:space="preserve"> </w:t>
      </w:r>
    </w:p>
    <w:p w14:paraId="59998430" w14:textId="77777777" w:rsidR="00FE73E0" w:rsidRPr="006C6B4E" w:rsidRDefault="00FE73E0" w:rsidP="00FE73E0">
      <w:pPr>
        <w:pStyle w:val="Text"/>
        <w:spacing w:line="288" w:lineRule="auto"/>
        <w:rPr>
          <w:noProof/>
          <w:sz w:val="24"/>
          <w:szCs w:val="24"/>
          <w:lang w:val="cs-CZ"/>
        </w:rPr>
      </w:pPr>
    </w:p>
    <w:p w14:paraId="56BC6057" w14:textId="67665B5E" w:rsidR="006C6B4E" w:rsidRPr="00CF4A82" w:rsidRDefault="006C6B4E" w:rsidP="006C6B4E">
      <w:pPr>
        <w:pStyle w:val="VchozA"/>
        <w:spacing w:before="0" w:after="320"/>
        <w:jc w:val="center"/>
        <w:rPr>
          <w:rFonts w:asciiTheme="minorHAnsi" w:eastAsia="Arial" w:hAnsiTheme="minorHAnsi" w:cstheme="minorHAnsi"/>
          <w:b/>
          <w:bCs/>
          <w:noProof/>
          <w:sz w:val="32"/>
          <w:szCs w:val="32"/>
          <w:shd w:val="clear" w:color="auto" w:fill="FFFFFF"/>
        </w:rPr>
      </w:pPr>
      <w:r w:rsidRPr="00CF4A82">
        <w:rPr>
          <w:rFonts w:asciiTheme="minorHAnsi" w:hAnsiTheme="minorHAnsi" w:cstheme="minorHAnsi"/>
          <w:b/>
          <w:bCs/>
          <w:noProof/>
          <w:sz w:val="32"/>
          <w:szCs w:val="32"/>
        </w:rPr>
        <w:t>Lze k</w:t>
      </w:r>
      <w:r w:rsidRPr="00CF4A82">
        <w:rPr>
          <w:rFonts w:asciiTheme="minorHAnsi" w:hAnsiTheme="minorHAnsi" w:cstheme="minorHAnsi"/>
          <w:b/>
          <w:bCs/>
          <w:noProof/>
          <w:sz w:val="32"/>
          <w:szCs w:val="32"/>
          <w:shd w:val="clear" w:color="auto" w:fill="FFFFFF"/>
        </w:rPr>
        <w:t>aly z čistíren odpadních vod nadále využívat jako hnojivo? Projekt FŽP popsal rizika a navrhl řešení</w:t>
      </w:r>
    </w:p>
    <w:p w14:paraId="13C8CB9D" w14:textId="6AE26649" w:rsidR="006C6B4E" w:rsidRPr="00CF4A82" w:rsidRDefault="00CF4A82" w:rsidP="006C6B4E">
      <w:pPr>
        <w:pStyle w:val="Nzev"/>
        <w:spacing w:line="288" w:lineRule="auto"/>
        <w:jc w:val="both"/>
        <w:rPr>
          <w:rFonts w:asciiTheme="minorHAnsi" w:hAnsiTheme="minorHAnsi" w:cstheme="minorHAnsi"/>
          <w:noProof/>
          <w:sz w:val="22"/>
          <w:szCs w:val="22"/>
          <w:lang w:val="cs-CZ"/>
        </w:rPr>
      </w:pPr>
      <w:r w:rsidRPr="00CF4A82">
        <w:rPr>
          <w:rFonts w:asciiTheme="minorHAnsi" w:hAnsiTheme="minorHAnsi" w:cstheme="minorHAnsi"/>
          <w:b/>
          <w:bCs/>
          <w:noProof/>
          <w:sz w:val="22"/>
          <w:szCs w:val="22"/>
          <w:lang w:val="cs-CZ"/>
        </w:rPr>
        <w:t xml:space="preserve">Praha, 16. července 2024 - </w:t>
      </w:r>
      <w:r w:rsidR="006C6B4E" w:rsidRPr="00CF4A82">
        <w:rPr>
          <w:rFonts w:asciiTheme="minorHAnsi" w:hAnsiTheme="minorHAnsi" w:cstheme="minorHAnsi"/>
          <w:b/>
          <w:bCs/>
          <w:noProof/>
          <w:sz w:val="22"/>
          <w:szCs w:val="22"/>
          <w:lang w:val="cs-CZ"/>
        </w:rPr>
        <w:t>Čistírenské kaly využívané jako půdní aditivum v zemědělství představují díky obsahu léčiv, pesticidů, kovů a dalších látek environmentální riziko. Jak ukázal komplexní výzkum týmu vědců z Fakulty životního prostředí ČZU v Praze, pyrolýza je na rozdíl od levnějšího kompostování schopna zredukovat většinu těchto látek až o 100</w:t>
      </w:r>
      <w:r w:rsidRPr="00CF4A82">
        <w:rPr>
          <w:rFonts w:asciiTheme="minorHAnsi" w:hAnsiTheme="minorHAnsi" w:cstheme="minorHAnsi"/>
          <w:b/>
          <w:bCs/>
          <w:noProof/>
          <w:sz w:val="22"/>
          <w:szCs w:val="22"/>
          <w:lang w:val="cs-CZ"/>
        </w:rPr>
        <w:t xml:space="preserve"> </w:t>
      </w:r>
      <w:r w:rsidR="006C6B4E" w:rsidRPr="00CF4A82">
        <w:rPr>
          <w:rFonts w:asciiTheme="minorHAnsi" w:hAnsiTheme="minorHAnsi" w:cstheme="minorHAnsi"/>
          <w:b/>
          <w:bCs/>
          <w:noProof/>
          <w:sz w:val="22"/>
          <w:szCs w:val="22"/>
          <w:lang w:val="cs-CZ"/>
        </w:rPr>
        <w:t xml:space="preserve">%. </w:t>
      </w:r>
      <w:r w:rsidRPr="00DA3EFD">
        <w:rPr>
          <w:rFonts w:asciiTheme="minorHAnsi" w:hAnsiTheme="minorHAnsi" w:cstheme="minorHAnsi"/>
          <w:b/>
          <w:bCs/>
          <w:noProof/>
          <w:sz w:val="22"/>
          <w:szCs w:val="22"/>
          <w:lang w:val="cs-CZ"/>
        </w:rPr>
        <w:t>K</w:t>
      </w:r>
      <w:r w:rsidR="006C6B4E" w:rsidRPr="00DA3EFD">
        <w:rPr>
          <w:rFonts w:asciiTheme="minorHAnsi" w:hAnsiTheme="minorHAnsi" w:cstheme="minorHAnsi"/>
          <w:b/>
          <w:bCs/>
          <w:noProof/>
          <w:sz w:val="22"/>
          <w:szCs w:val="22"/>
          <w:lang w:val="cs-CZ"/>
        </w:rPr>
        <w:t xml:space="preserve">ovy </w:t>
      </w:r>
      <w:r w:rsidRPr="00DA3EFD">
        <w:rPr>
          <w:rFonts w:asciiTheme="minorHAnsi" w:hAnsiTheme="minorHAnsi" w:cstheme="minorHAnsi"/>
          <w:b/>
          <w:bCs/>
          <w:noProof/>
          <w:sz w:val="22"/>
          <w:szCs w:val="22"/>
          <w:lang w:val="cs-CZ"/>
        </w:rPr>
        <w:t xml:space="preserve">nicméně </w:t>
      </w:r>
      <w:r w:rsidR="006C6B4E" w:rsidRPr="00DA3EFD">
        <w:rPr>
          <w:rFonts w:asciiTheme="minorHAnsi" w:hAnsiTheme="minorHAnsi" w:cstheme="minorHAnsi"/>
          <w:b/>
          <w:bCs/>
          <w:noProof/>
          <w:sz w:val="22"/>
          <w:szCs w:val="22"/>
          <w:lang w:val="cs-CZ"/>
        </w:rPr>
        <w:t>v upraveném kalu zůstávají a jejich chování záleží na pH půdy, do které se upravené kaly vpravují. Velmi kyselé nebo velmi zásadité půdy umožní další uvolňování rizikových kovů a metaloidů do prostředí. Vědci sledovali také zbytkové koncentrace tzv. emergentních polutantů v půdě a v pěstovaných plodinách, antibakteriální látky telmisartan a triclosan se v půdě nacházely ještě rok po aplikaci kalu, v zrnech pšenice spolu s telmisartanem objevili léčiva karbamazepin a diklofenak, v obou případech v neškodných koncentracích. Potvrdili ale současně přínos upravených kalů pro půdní mikroby. Vzhledem k finanční náročnosti pyrolýzy a omezené kapacitě vědci doporučují zohlednit složení a množství kalu v konkrétní čistírně, oblasti či regionu, a zvážit případné kompostování. Výzkum podpořený grantem Národní agentury pro zemědělský výzkum (NAZV) ukazuje, kterým směrem by se zodpovědné nakládání s čistírenskými kaly a vývoj legislativy měly ubírat.</w:t>
      </w:r>
    </w:p>
    <w:p w14:paraId="19380FFE" w14:textId="77777777" w:rsidR="006C6B4E" w:rsidRPr="00CF4A82" w:rsidRDefault="006C6B4E" w:rsidP="006C6B4E">
      <w:pPr>
        <w:pStyle w:val="TextA"/>
        <w:jc w:val="both"/>
        <w:rPr>
          <w:rFonts w:asciiTheme="minorHAnsi" w:hAnsiTheme="minorHAnsi" w:cstheme="minorHAnsi"/>
          <w:noProof/>
        </w:rPr>
      </w:pPr>
    </w:p>
    <w:p w14:paraId="487F5E4E" w14:textId="4488F28A" w:rsidR="006C6B4E" w:rsidRPr="00CF4A82" w:rsidRDefault="006C6B4E" w:rsidP="006C6B4E">
      <w:pPr>
        <w:pStyle w:val="VchozA"/>
        <w:spacing w:before="0" w:after="320"/>
        <w:jc w:val="both"/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</w:pP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Čistírenské kaly bohaté na živiny a organickou hmotu jsou tradičně využívané jako hnojivo pro zemědělskou půdu. Jak ale každodenní rutina běžného obyvatele obce vybavené kanalizací napovídá, do odpadního systému se dostávají také látky, které z povahy věci nemohou být zdraví prospěšné. Tyto takzvané mikropolutanty, zahrnující nejrůznější léčiva, hormony, chemikálie z domácností i z obalů potravin, změkčovadla, plasty, insekticidy a další potenciálně rakovinotvorné „endokrinní disruptory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  <w:rtl/>
        </w:rPr>
        <w:t>“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 xml:space="preserve">, doplňují kovy nebo perzistentní organické polutanty (jako PAU a PCB). </w:t>
      </w:r>
      <w:r w:rsidR="00CF4A82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„</w:t>
      </w:r>
      <w:r w:rsidRPr="00CF4A8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Řada těchto látek se sice přirozeně v prostředí rozkládá, jejich neustálý přísun a hromadění ale představují závažné riziko pro životní prostředí a lidské zdraví. Jiná skupina látek, jako fluorované polymery, mezi které patří i všeobecně rozšířený teflon a které najdeme třeba v obalech od popcornu a jiných mastných potravin, jsou přirozenému rozkladu zcela odolné</w:t>
      </w:r>
      <w:r w:rsidR="00CF4A82" w:rsidRPr="00CF4A8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 xml:space="preserve">,“ </w:t>
      </w:r>
      <w:r w:rsidR="00CF4A82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uvádí prof.</w:t>
      </w:r>
      <w:r w:rsidR="00A30F49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="00CF4A82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Michael</w:t>
      </w:r>
      <w:r w:rsidR="00A30F49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="00CF4A82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Komárek z </w:t>
      </w:r>
      <w:r w:rsidR="005533DD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k</w:t>
      </w:r>
      <w:r w:rsidR="00CF4A82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atedry geoenvironmentálních věd a děkan Fakulty životního prostředí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 xml:space="preserve"> ČZU.</w:t>
      </w:r>
    </w:p>
    <w:p w14:paraId="2AB54430" w14:textId="3459831B" w:rsidR="0039638C" w:rsidRPr="00CF4A82" w:rsidRDefault="006C6B4E" w:rsidP="00500648">
      <w:pPr>
        <w:pStyle w:val="VchozA"/>
        <w:spacing w:before="0"/>
        <w:jc w:val="both"/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</w:pPr>
      <w:r w:rsidRPr="00CF4A82">
        <w:rPr>
          <w:rFonts w:asciiTheme="minorHAnsi" w:eastAsia="Arial" w:hAnsiTheme="minorHAnsi" w:cstheme="minorHAnsi"/>
          <w:noProof/>
          <w:sz w:val="22"/>
          <w:szCs w:val="22"/>
          <w:shd w:val="clear" w:color="auto" w:fill="FFFFFF"/>
        </w:rPr>
        <w:lastRenderedPageBreak/>
        <w:br/>
        <w:t>Č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eská republika, podobně jako jiné státy EU, v návaznosti na evropskou směrnici 86/278/EHS, přijala limity pro kovy a další rizikové prvky, vybrané organické sloučeniny a mikrobiální znečištění. Platná vyhláška o použití upravených kalů na zemědělské půdě zohledňuje pouze celkové koncentrace rizikových látek, ale opomíjí jejich potenciální vylouhovatelnost. Právě ta je pro posouzení rizik aplikace čistírenských kalů do půdy naprosto klíčová.</w:t>
      </w:r>
      <w:r w:rsidR="0039638C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 xml:space="preserve"> </w:t>
      </w:r>
    </w:p>
    <w:p w14:paraId="386472B4" w14:textId="77777777" w:rsidR="002B259C" w:rsidRPr="00CF4A82" w:rsidRDefault="006C6B4E" w:rsidP="00500648">
      <w:pPr>
        <w:pStyle w:val="VchozA"/>
        <w:widowControl w:val="0"/>
        <w:spacing w:before="0"/>
        <w:jc w:val="both"/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</w:pPr>
      <w:r w:rsidRPr="00CF4A82">
        <w:rPr>
          <w:rFonts w:asciiTheme="minorHAnsi" w:eastAsia="Arial" w:hAnsiTheme="minorHAnsi" w:cstheme="minorHAnsi"/>
          <w:noProof/>
          <w:sz w:val="22"/>
          <w:szCs w:val="22"/>
          <w:shd w:val="clear" w:color="auto" w:fill="FFFFFF"/>
        </w:rPr>
        <w:br/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Tým Martiny Vítkové a Michaela Komárka z katedry geoenvironmentálních věd se díky grantu Národní agentury pro zemědělský výzkum (NAZV) zaměřil na sledování koncentrací těchto znečišťujících látek v kalech, v zemědělské půdě i pěstovaných plodinách, a posoudil využití pyrolýzy a kompostování k jejich odstranění. Díky kombinaci laboratorních a terénních experimentů se vůbec poprvé mohli vědci do detailu zabývat problematikou, která ovlivní budoucí</w:t>
      </w:r>
      <w:r w:rsidR="002B259C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praxi</w:t>
      </w:r>
      <w:r w:rsidR="002B259C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i</w:t>
      </w:r>
      <w:r w:rsidR="002B259C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legislativu.</w:t>
      </w:r>
    </w:p>
    <w:p w14:paraId="6531630C" w14:textId="77777777" w:rsidR="00500648" w:rsidRDefault="006C6B4E" w:rsidP="002B259C">
      <w:pPr>
        <w:pStyle w:val="VchozA"/>
        <w:widowControl w:val="0"/>
        <w:spacing w:before="0"/>
        <w:jc w:val="both"/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</w:pPr>
      <w:r w:rsidRPr="00CF4A82">
        <w:rPr>
          <w:rFonts w:asciiTheme="minorHAnsi" w:eastAsia="Arial" w:hAnsiTheme="minorHAnsi" w:cstheme="minorHAnsi"/>
          <w:noProof/>
          <w:sz w:val="22"/>
          <w:szCs w:val="22"/>
          <w:shd w:val="clear" w:color="auto" w:fill="FFFFFF"/>
        </w:rPr>
        <w:br/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Vzorky půd vědci získali z pěti zemědělských lokalit, kde v minulosti dlouhodobě docházelo k aplikaci čistírenských kalů. Dále z více než deseti čistíren odpadních vod, obecních i průmyslových, odebrali vzorky kalů a kromě obsahu rizikových prvků a makroživin se zaměřili na legislativně dosud nesledované mikropolutanty včetně 20 nejčastějších léčiv a látek z produktů denní potřeby, 20 endokrinních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disruptorů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a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na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32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perfluorovaných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sloučenin.</w:t>
      </w:r>
      <w:r w:rsidRPr="00CF4A82">
        <w:rPr>
          <w:rFonts w:asciiTheme="minorHAnsi" w:eastAsia="Arial" w:hAnsiTheme="minorHAnsi" w:cstheme="minorHAnsi"/>
          <w:noProof/>
          <w:sz w:val="22"/>
          <w:szCs w:val="22"/>
          <w:shd w:val="clear" w:color="auto" w:fill="FFFFFF"/>
        </w:rPr>
        <w:br/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Poté vybrali tři reprezentativní kaly se zvýšeným obsahem sledovaných mikropolutantů, které vystavili procesu kompostování (s teplotním maximem kolem 55°C) a pyrolýze (600–650°C), a porovnali jejich složení s původními vzorky. Následně podrobili polutanty v kalech standardizovaným</w:t>
      </w:r>
      <w:r w:rsidR="002B259C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="002D3CAB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s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loužícím</w:t>
      </w:r>
      <w:r w:rsidR="002B259C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testům.</w:t>
      </w:r>
      <w:r w:rsidRPr="00CF4A82">
        <w:rPr>
          <w:rFonts w:asciiTheme="minorHAnsi" w:eastAsia="Arial" w:hAnsiTheme="minorHAnsi" w:cstheme="minorHAnsi"/>
          <w:noProof/>
          <w:sz w:val="22"/>
          <w:szCs w:val="22"/>
          <w:shd w:val="clear" w:color="auto" w:fill="FFFFFF"/>
        </w:rPr>
        <w:br/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Upravené kaly zapravili na dvou odlišných lokalitách do kontrastních zemědělských půd s detailně prozkoumanými vlastnostmi. A nakonec vyhodnotili koncentrace (mikro)polutantů nejen v půdě, ale i v nadzemních částech pěstovaných plodin, a aktivitu půdních mikrobů.</w:t>
      </w:r>
      <w:r w:rsidRPr="00CF4A82">
        <w:rPr>
          <w:rFonts w:asciiTheme="minorHAnsi" w:eastAsia="Arial" w:hAnsiTheme="minorHAnsi" w:cstheme="minorHAnsi"/>
          <w:noProof/>
          <w:sz w:val="22"/>
          <w:szCs w:val="22"/>
          <w:shd w:val="clear" w:color="auto" w:fill="FFFFFF"/>
        </w:rPr>
        <w:br/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Kompostování se pro odstranění farmak, produktů osobní péče a endokrinních disruptorů ve srovnání s pyrolýzou ukázalo jako méně účinné, sledovaných mikropolutantů ubylo 65 % narozdíl od 99,9% poklesu (100% u per-/polyfluorovaných látek) po pyrolýze. Akumulace kovů v zrnech pšenice se neukázala jako významná, pouze u jednoho vzorku s kompostovaným kalem došlo k mírnému překročení limitních hodnot dle norem Organizace pro výživu a zemědělství (FAO) a Světové zdravotnické organizace (WHO). Jedinými mikropolutanty nalezenými v půdě jeden rok po aplikaci byly antibakteriální látky telmisartan a triclosan se 74% snížením koncentrací. V plodinách vědci detekovali pouze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léčiva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karbamazepin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a</w:t>
      </w:r>
      <w:r w:rsid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diklofenak</w:t>
      </w:r>
      <w:r w:rsidR="002B259C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a</w:t>
      </w:r>
      <w:r w:rsidR="002B259C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opět</w:t>
      </w:r>
      <w:r w:rsidR="002B259C"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 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telmisartan.</w:t>
      </w:r>
    </w:p>
    <w:p w14:paraId="16CA4177" w14:textId="442F49DC" w:rsidR="006C6B4E" w:rsidRPr="00CF4A82" w:rsidRDefault="006C6B4E" w:rsidP="002B259C">
      <w:pPr>
        <w:pStyle w:val="VchozA"/>
        <w:widowControl w:val="0"/>
        <w:spacing w:before="0"/>
        <w:jc w:val="both"/>
        <w:rPr>
          <w:rFonts w:asciiTheme="minorHAnsi" w:hAnsiTheme="minorHAnsi" w:cstheme="minorHAnsi"/>
          <w:noProof/>
        </w:rPr>
      </w:pPr>
      <w:r w:rsidRPr="00CF4A82">
        <w:rPr>
          <w:rFonts w:asciiTheme="minorHAnsi" w:eastAsia="Arial" w:hAnsiTheme="minorHAnsi" w:cstheme="minorHAnsi"/>
          <w:noProof/>
          <w:sz w:val="22"/>
          <w:szCs w:val="22"/>
          <w:shd w:val="clear" w:color="auto" w:fill="FFFFFF"/>
        </w:rPr>
        <w:br/>
      </w:r>
      <w:r w:rsid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„</w:t>
      </w:r>
      <w:r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 xml:space="preserve">Půdní pH hraje důležitou roli s ohledem na rizikové kovy a metaloidy. Ve velmi kyselém a velmi alkalickém prostředí totiž hrozí další uvolňování těchto rizikových prvků, nelze tedy doporučit zapravování upravených kalů do zemědělské půdy s nízkým nebo naopak velmi vysokým pH. </w:t>
      </w:r>
      <w:r w:rsidRPr="003F1FB2">
        <w:rPr>
          <w:rFonts w:asciiTheme="minorHAnsi" w:eastAsia="Arial" w:hAnsiTheme="minorHAnsi" w:cstheme="minorHAnsi"/>
          <w:i/>
          <w:iCs/>
          <w:noProof/>
          <w:sz w:val="22"/>
          <w:szCs w:val="22"/>
          <w:shd w:val="clear" w:color="auto" w:fill="FFFFFF"/>
        </w:rPr>
        <w:br/>
      </w:r>
      <w:r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Jak ukázaly doplňkové ukazatele půdní kvality (respirometrické testy a aktivita půdních enzymů),</w:t>
      </w:r>
      <w:r w:rsidR="002B259C"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 </w:t>
      </w:r>
      <w:r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pro</w:t>
      </w:r>
      <w:r w:rsidR="002B259C"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 </w:t>
      </w:r>
      <w:r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oživení</w:t>
      </w:r>
      <w:r w:rsidR="002B259C"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 </w:t>
      </w:r>
      <w:r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půdy</w:t>
      </w:r>
      <w:r w:rsidR="002B259C"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 </w:t>
      </w:r>
      <w:r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jsou</w:t>
      </w:r>
      <w:r w:rsidR="002B259C"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 </w:t>
      </w:r>
      <w:r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upravené</w:t>
      </w:r>
      <w:r w:rsidR="002B259C"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 </w:t>
      </w:r>
      <w:r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kaly</w:t>
      </w:r>
      <w:r w:rsidR="002B259C"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 </w:t>
      </w:r>
      <w:r w:rsidRP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přínosem</w:t>
      </w:r>
      <w:r w:rsidR="003F1FB2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,“</w:t>
      </w:r>
      <w:r w:rsidR="008A31E9">
        <w:rPr>
          <w:rFonts w:asciiTheme="minorHAnsi" w:hAnsiTheme="minorHAnsi" w:cstheme="minorHAnsi"/>
          <w:i/>
          <w:iCs/>
          <w:noProof/>
          <w:sz w:val="22"/>
          <w:szCs w:val="22"/>
          <w:shd w:val="clear" w:color="auto" w:fill="FFFFFF"/>
        </w:rPr>
        <w:t> </w:t>
      </w:r>
      <w:r w:rsidR="008A31E9" w:rsidRPr="008A31E9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>vysvětluje doc. Martina Vítková.</w:t>
      </w:r>
      <w:r w:rsidRPr="00CF4A82">
        <w:rPr>
          <w:rFonts w:asciiTheme="minorHAnsi" w:eastAsia="Arial" w:hAnsiTheme="minorHAnsi" w:cstheme="minorHAnsi"/>
          <w:noProof/>
          <w:sz w:val="22"/>
          <w:szCs w:val="22"/>
          <w:shd w:val="clear" w:color="auto" w:fill="FFFFFF"/>
        </w:rPr>
        <w:br/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t xml:space="preserve">Lze tedy shrnout, že pyrolýza je nejvhodnější metoda úpravy kalů pro jejich další využití coby bezpečného půdního aditiva. S ohledem na vyšší finanční náročnost a omezenou dostupnost této </w:t>
      </w:r>
      <w:r w:rsidRPr="00CF4A82">
        <w:rPr>
          <w:rFonts w:asciiTheme="minorHAnsi" w:hAnsiTheme="minorHAnsi" w:cstheme="minorHAnsi"/>
          <w:noProof/>
          <w:sz w:val="22"/>
          <w:szCs w:val="22"/>
          <w:shd w:val="clear" w:color="auto" w:fill="FFFFFF"/>
        </w:rPr>
        <w:lastRenderedPageBreak/>
        <w:t>technologie pro velké objemy vědci doporučují vždy zohlednit složení kalů (vhodnější pro vysoké obsahy mikropolutantů a nízké obsahy kovů), a posoudit tak vhodnost pyrolýzy. Výběr vhodné technologie se bude odvíjet od složení a množství produkovaného kalu v konkrétní čistírně, oblasti či regionu. Výsledky projektu jsou tak pomocným rozhodovacím základem nejen pro provozovatele kompostáren, čistíren, pyrolýzních jednotek, nebo potenciálních investorů, ale i pro orgány státní správy zejména s ohledem na vhodné nakládání s kaly a na možné změny legislativy v budoucnu.</w:t>
      </w:r>
    </w:p>
    <w:p w14:paraId="5D795F9D" w14:textId="77777777" w:rsidR="000A3D39" w:rsidRPr="006C6B4E" w:rsidRDefault="000A3D39" w:rsidP="00D75B9D">
      <w:pPr>
        <w:rPr>
          <w:rFonts w:cstheme="minorHAnsi"/>
          <w:noProof/>
          <w:color w:val="000000"/>
        </w:rPr>
      </w:pPr>
    </w:p>
    <w:p w14:paraId="6257BFEE" w14:textId="1AF8FFC8" w:rsidR="008A6E78" w:rsidRPr="00CF4A82" w:rsidRDefault="008A6E78" w:rsidP="00CF4A82">
      <w:pPr>
        <w:spacing w:line="240" w:lineRule="auto"/>
        <w:rPr>
          <w:rFonts w:cstheme="minorHAnsi"/>
          <w:i/>
          <w:noProof/>
        </w:rPr>
      </w:pPr>
      <w:r w:rsidRPr="00CF4A82">
        <w:rPr>
          <w:rFonts w:cstheme="minorHAnsi"/>
          <w:noProof/>
          <w:color w:val="000000"/>
        </w:rPr>
        <w:t>--------------------------------------------------------------------------------------------------------------------------</w:t>
      </w:r>
    </w:p>
    <w:p w14:paraId="5B6AF71C" w14:textId="77777777" w:rsidR="008A6E78" w:rsidRPr="00CF4A82" w:rsidRDefault="008A6E78" w:rsidP="00CF4A82">
      <w:pPr>
        <w:spacing w:line="240" w:lineRule="auto"/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CF4A82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01044844" w14:textId="2AEBEA90" w:rsidR="008A6E78" w:rsidRPr="006C6B4E" w:rsidRDefault="008A6E78" w:rsidP="008631F1">
      <w:pPr>
        <w:spacing w:line="240" w:lineRule="auto"/>
        <w:jc w:val="both"/>
        <w:rPr>
          <w:rFonts w:cstheme="minorHAnsi"/>
          <w:noProof/>
          <w:sz w:val="20"/>
          <w:szCs w:val="20"/>
        </w:rPr>
      </w:pPr>
      <w:r w:rsidRPr="00CF4A82">
        <w:rPr>
          <w:rFonts w:cstheme="minorHAnsi"/>
          <w:noProof/>
          <w:sz w:val="20"/>
          <w:szCs w:val="20"/>
          <w:lang w:eastAsia="ar-SA"/>
        </w:rPr>
        <w:t xml:space="preserve">ČZU je čtvrtou až pátou největší univerzitou v ČR. Spojuje v sobě </w:t>
      </w:r>
      <w:r w:rsidR="00CF4A82">
        <w:rPr>
          <w:rFonts w:cstheme="minorHAnsi"/>
          <w:noProof/>
          <w:sz w:val="20"/>
          <w:szCs w:val="20"/>
          <w:lang w:eastAsia="ar-SA"/>
        </w:rPr>
        <w:t>bezmála stodvacetiletou</w:t>
      </w:r>
      <w:r w:rsidRPr="00CF4A82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6E1913" w:rsidRPr="00CF4A82">
        <w:rPr>
          <w:rFonts w:cstheme="minorHAnsi"/>
          <w:noProof/>
          <w:sz w:val="20"/>
          <w:szCs w:val="20"/>
          <w:lang w:eastAsia="ar-SA"/>
        </w:rPr>
        <w:t>3</w:t>
      </w:r>
      <w:r w:rsidR="00B2163D" w:rsidRPr="00CF4A82"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CF4A82">
        <w:rPr>
          <w:rFonts w:cstheme="minorHAnsi"/>
          <w:noProof/>
          <w:sz w:val="20"/>
          <w:szCs w:val="20"/>
          <w:lang w:eastAsia="ar-SA"/>
        </w:rPr>
        <w:t xml:space="preserve">umístila na </w:t>
      </w:r>
      <w:r w:rsidR="006E1913" w:rsidRPr="00CF4A82">
        <w:rPr>
          <w:rFonts w:cstheme="minorHAnsi"/>
          <w:noProof/>
          <w:sz w:val="20"/>
          <w:szCs w:val="20"/>
          <w:lang w:eastAsia="ar-SA"/>
        </w:rPr>
        <w:t>601.–700.</w:t>
      </w:r>
      <w:r w:rsidR="006E1913" w:rsidRPr="00CF4A82">
        <w:rPr>
          <w:rFonts w:cstheme="minorHAnsi"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CF4A82">
        <w:rPr>
          <w:rFonts w:cstheme="minorHAnsi"/>
          <w:noProof/>
          <w:sz w:val="20"/>
          <w:szCs w:val="20"/>
          <w:lang w:eastAsia="ar-SA"/>
        </w:rPr>
        <w:t xml:space="preserve">místě na světě a na </w:t>
      </w:r>
      <w:r w:rsidR="00B2163D" w:rsidRPr="00CF4A82">
        <w:rPr>
          <w:rFonts w:cstheme="minorHAnsi"/>
          <w:noProof/>
          <w:sz w:val="20"/>
          <w:szCs w:val="20"/>
          <w:lang w:eastAsia="ar-SA"/>
        </w:rPr>
        <w:t>sdíleném 4</w:t>
      </w:r>
      <w:r w:rsidRPr="00CF4A82">
        <w:rPr>
          <w:rFonts w:cstheme="minorHAnsi"/>
          <w:noProof/>
          <w:sz w:val="20"/>
          <w:szCs w:val="20"/>
          <w:lang w:eastAsia="ar-SA"/>
        </w:rPr>
        <w:t>. místě z hodnocených univerzit v ČR. V roce 202</w:t>
      </w:r>
      <w:r w:rsidR="001E2FE4" w:rsidRPr="00CF4A82">
        <w:rPr>
          <w:rFonts w:cstheme="minorHAnsi"/>
          <w:noProof/>
          <w:sz w:val="20"/>
          <w:szCs w:val="20"/>
          <w:lang w:eastAsia="ar-SA"/>
        </w:rPr>
        <w:t>3</w:t>
      </w:r>
      <w:r w:rsidRPr="00CF4A82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 w:rsidR="001E2FE4" w:rsidRPr="00CF4A82">
        <w:rPr>
          <w:rFonts w:cstheme="minorHAnsi"/>
          <w:noProof/>
          <w:sz w:val="20"/>
          <w:szCs w:val="20"/>
          <w:lang w:eastAsia="ar-SA"/>
        </w:rPr>
        <w:t>36</w:t>
      </w:r>
      <w:r w:rsidRPr="00CF4A82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  <w:r w:rsidR="008631F1">
        <w:rPr>
          <w:rFonts w:cstheme="minorHAnsi"/>
          <w:noProof/>
          <w:sz w:val="20"/>
          <w:szCs w:val="20"/>
          <w:lang w:eastAsia="ar-SA"/>
        </w:rPr>
        <w:t xml:space="preserve"> </w:t>
      </w:r>
    </w:p>
    <w:p w14:paraId="1C5502E4" w14:textId="77777777" w:rsidR="008A6E78" w:rsidRPr="006C6B4E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6C6B4E">
        <w:rPr>
          <w:rFonts w:cstheme="minorHAnsi"/>
          <w:b/>
          <w:noProof/>
          <w:sz w:val="20"/>
          <w:szCs w:val="20"/>
        </w:rPr>
        <w:t>Kontakt pro novináře:</w:t>
      </w:r>
      <w:r w:rsidRPr="006C6B4E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6C6B4E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6C6B4E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6C6B4E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6C6B4E" w:rsidSect="0022674A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FA2C4" w14:textId="77777777" w:rsidR="007D692F" w:rsidRDefault="007D692F" w:rsidP="00091D49">
      <w:r>
        <w:separator/>
      </w:r>
    </w:p>
  </w:endnote>
  <w:endnote w:type="continuationSeparator" w:id="0">
    <w:p w14:paraId="1A4C67FB" w14:textId="77777777" w:rsidR="007D692F" w:rsidRDefault="007D692F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E0EE3" w14:textId="77777777" w:rsidR="007D692F" w:rsidRDefault="007D692F" w:rsidP="00091D49">
      <w:r>
        <w:separator/>
      </w:r>
    </w:p>
  </w:footnote>
  <w:footnote w:type="continuationSeparator" w:id="0">
    <w:p w14:paraId="25EA661A" w14:textId="77777777" w:rsidR="007D692F" w:rsidRDefault="007D692F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C6C02" w14:textId="77777777" w:rsidR="00091D49" w:rsidRPr="00091D49" w:rsidRDefault="005533DD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158AF"/>
    <w:rsid w:val="000200A4"/>
    <w:rsid w:val="00024F72"/>
    <w:rsid w:val="00031814"/>
    <w:rsid w:val="00041A80"/>
    <w:rsid w:val="00043E23"/>
    <w:rsid w:val="00056C77"/>
    <w:rsid w:val="00071E4A"/>
    <w:rsid w:val="00080B21"/>
    <w:rsid w:val="00086B96"/>
    <w:rsid w:val="00091D49"/>
    <w:rsid w:val="00096094"/>
    <w:rsid w:val="000A3D39"/>
    <w:rsid w:val="000A5A4A"/>
    <w:rsid w:val="000A6805"/>
    <w:rsid w:val="000D402C"/>
    <w:rsid w:val="000E262A"/>
    <w:rsid w:val="000F1328"/>
    <w:rsid w:val="000F2931"/>
    <w:rsid w:val="00105156"/>
    <w:rsid w:val="00115B37"/>
    <w:rsid w:val="00127D65"/>
    <w:rsid w:val="00135D53"/>
    <w:rsid w:val="00156259"/>
    <w:rsid w:val="00157487"/>
    <w:rsid w:val="00157B53"/>
    <w:rsid w:val="00171286"/>
    <w:rsid w:val="001827B6"/>
    <w:rsid w:val="00183A3F"/>
    <w:rsid w:val="00187E27"/>
    <w:rsid w:val="00191E85"/>
    <w:rsid w:val="001970C0"/>
    <w:rsid w:val="001A0294"/>
    <w:rsid w:val="001D6585"/>
    <w:rsid w:val="001E2FE4"/>
    <w:rsid w:val="001F5FBB"/>
    <w:rsid w:val="0022674A"/>
    <w:rsid w:val="00266416"/>
    <w:rsid w:val="0028493B"/>
    <w:rsid w:val="002B259C"/>
    <w:rsid w:val="002D3CAB"/>
    <w:rsid w:val="002D4927"/>
    <w:rsid w:val="002E4DB6"/>
    <w:rsid w:val="002E7572"/>
    <w:rsid w:val="00310D77"/>
    <w:rsid w:val="00335CB5"/>
    <w:rsid w:val="00337CCA"/>
    <w:rsid w:val="0035063B"/>
    <w:rsid w:val="00363E6A"/>
    <w:rsid w:val="00366E98"/>
    <w:rsid w:val="0037751A"/>
    <w:rsid w:val="003818E5"/>
    <w:rsid w:val="0038787C"/>
    <w:rsid w:val="0039638C"/>
    <w:rsid w:val="00397D71"/>
    <w:rsid w:val="003A5C09"/>
    <w:rsid w:val="003E3E39"/>
    <w:rsid w:val="003E7A19"/>
    <w:rsid w:val="003F1FB2"/>
    <w:rsid w:val="003F3D5A"/>
    <w:rsid w:val="003F7BB6"/>
    <w:rsid w:val="00433020"/>
    <w:rsid w:val="00436309"/>
    <w:rsid w:val="0047334E"/>
    <w:rsid w:val="004A2BDC"/>
    <w:rsid w:val="004D2499"/>
    <w:rsid w:val="00500648"/>
    <w:rsid w:val="00504549"/>
    <w:rsid w:val="005533DD"/>
    <w:rsid w:val="00573405"/>
    <w:rsid w:val="00583B4B"/>
    <w:rsid w:val="005C6A28"/>
    <w:rsid w:val="005D02E7"/>
    <w:rsid w:val="005F0305"/>
    <w:rsid w:val="00611076"/>
    <w:rsid w:val="00637A19"/>
    <w:rsid w:val="006546B6"/>
    <w:rsid w:val="00667CA9"/>
    <w:rsid w:val="006B0848"/>
    <w:rsid w:val="006C6B4E"/>
    <w:rsid w:val="006E1913"/>
    <w:rsid w:val="007005C0"/>
    <w:rsid w:val="00726782"/>
    <w:rsid w:val="0073095E"/>
    <w:rsid w:val="00731D3E"/>
    <w:rsid w:val="00784B8B"/>
    <w:rsid w:val="007B01D4"/>
    <w:rsid w:val="007B7EB9"/>
    <w:rsid w:val="007D692F"/>
    <w:rsid w:val="00822A56"/>
    <w:rsid w:val="00833B16"/>
    <w:rsid w:val="008631F1"/>
    <w:rsid w:val="00894814"/>
    <w:rsid w:val="008A31E9"/>
    <w:rsid w:val="008A541F"/>
    <w:rsid w:val="008A6E78"/>
    <w:rsid w:val="008F5B06"/>
    <w:rsid w:val="008F6E9A"/>
    <w:rsid w:val="00945FA4"/>
    <w:rsid w:val="0096093A"/>
    <w:rsid w:val="00961E77"/>
    <w:rsid w:val="009765B4"/>
    <w:rsid w:val="00976D0B"/>
    <w:rsid w:val="009912F9"/>
    <w:rsid w:val="00991E58"/>
    <w:rsid w:val="009A0C31"/>
    <w:rsid w:val="009D6A78"/>
    <w:rsid w:val="009F0525"/>
    <w:rsid w:val="009F14A7"/>
    <w:rsid w:val="00A20A61"/>
    <w:rsid w:val="00A24424"/>
    <w:rsid w:val="00A257EE"/>
    <w:rsid w:val="00A26A83"/>
    <w:rsid w:val="00A30F49"/>
    <w:rsid w:val="00AC6F43"/>
    <w:rsid w:val="00AE33C8"/>
    <w:rsid w:val="00B1141B"/>
    <w:rsid w:val="00B16DD8"/>
    <w:rsid w:val="00B2163D"/>
    <w:rsid w:val="00B32120"/>
    <w:rsid w:val="00B4724C"/>
    <w:rsid w:val="00B832DD"/>
    <w:rsid w:val="00BC2C59"/>
    <w:rsid w:val="00BC32DD"/>
    <w:rsid w:val="00BE670C"/>
    <w:rsid w:val="00C109C1"/>
    <w:rsid w:val="00C6461A"/>
    <w:rsid w:val="00CC5C1A"/>
    <w:rsid w:val="00CD33FB"/>
    <w:rsid w:val="00CF4A82"/>
    <w:rsid w:val="00D01215"/>
    <w:rsid w:val="00D151CE"/>
    <w:rsid w:val="00D419CD"/>
    <w:rsid w:val="00D7105E"/>
    <w:rsid w:val="00D7451B"/>
    <w:rsid w:val="00D75B9D"/>
    <w:rsid w:val="00D765CD"/>
    <w:rsid w:val="00D951EA"/>
    <w:rsid w:val="00D9585B"/>
    <w:rsid w:val="00DA3EFD"/>
    <w:rsid w:val="00DA6929"/>
    <w:rsid w:val="00DC33B5"/>
    <w:rsid w:val="00DD01A5"/>
    <w:rsid w:val="00DD0D0C"/>
    <w:rsid w:val="00DD2DC8"/>
    <w:rsid w:val="00E4404B"/>
    <w:rsid w:val="00E67C26"/>
    <w:rsid w:val="00E81D04"/>
    <w:rsid w:val="00E85136"/>
    <w:rsid w:val="00E866B2"/>
    <w:rsid w:val="00E97865"/>
    <w:rsid w:val="00EB0019"/>
    <w:rsid w:val="00EB1A00"/>
    <w:rsid w:val="00EB6699"/>
    <w:rsid w:val="00EE16A2"/>
    <w:rsid w:val="00EF051B"/>
    <w:rsid w:val="00EF4F4D"/>
    <w:rsid w:val="00F50283"/>
    <w:rsid w:val="00FA6D4B"/>
    <w:rsid w:val="00FB0D46"/>
    <w:rsid w:val="00FC13A8"/>
    <w:rsid w:val="00FD2396"/>
    <w:rsid w:val="00FE2E33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14A7"/>
    <w:pPr>
      <w:spacing w:after="0" w:line="36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  <w:style w:type="paragraph" w:styleId="Bezmezer">
    <w:name w:val="No Spacing"/>
    <w:uiPriority w:val="1"/>
    <w:rsid w:val="002B259C"/>
    <w:pPr>
      <w:spacing w:after="0" w:line="36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67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9</TotalTime>
  <Pages>3</Pages>
  <Words>1105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11</cp:revision>
  <dcterms:created xsi:type="dcterms:W3CDTF">2024-07-16T08:54:00Z</dcterms:created>
  <dcterms:modified xsi:type="dcterms:W3CDTF">2024-07-17T05:52:00Z</dcterms:modified>
</cp:coreProperties>
</file>