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EBE51" w14:textId="77777777" w:rsidR="005132EE" w:rsidRDefault="005132EE" w:rsidP="00224919">
      <w:pPr>
        <w:pStyle w:val="TextA"/>
        <w:rPr>
          <w:rStyle w:val="dn"/>
          <w:rFonts w:ascii="Calibri" w:hAnsi="Calibri"/>
          <w:b/>
          <w:bCs/>
          <w:kern w:val="2"/>
          <w:sz w:val="36"/>
          <w:szCs w:val="36"/>
        </w:rPr>
      </w:pPr>
    </w:p>
    <w:p w14:paraId="10802B75" w14:textId="0F526AFF" w:rsidR="00224919" w:rsidRPr="00F532EA" w:rsidRDefault="00080B21" w:rsidP="005132EE">
      <w:pPr>
        <w:pStyle w:val="TextA"/>
        <w:jc w:val="center"/>
        <w:rPr>
          <w:rStyle w:val="dn"/>
          <w:rFonts w:ascii="Calibri" w:eastAsia="Calibri" w:hAnsi="Calibri" w:cs="Calibri"/>
          <w:b/>
          <w:bCs/>
          <w:sz w:val="36"/>
          <w:szCs w:val="36"/>
        </w:rPr>
      </w:pPr>
      <w:r w:rsidRPr="00F532EA">
        <w:rPr>
          <w:rFonts w:ascii="Roboto Medium" w:hAnsi="Roboto Medium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0" w:name="_Hlk118097100"/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</w:rPr>
        <w:t>Řeš</w:t>
      </w:r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  <w:lang w:val="de-DE"/>
        </w:rPr>
        <w:t>itel</w:t>
      </w:r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  <w:lang w:val="fr-FR"/>
        </w:rPr>
        <w:t>é</w:t>
      </w:r>
      <w:r w:rsidR="005132EE">
        <w:rPr>
          <w:rStyle w:val="dn"/>
          <w:rFonts w:ascii="Calibri" w:hAnsi="Calibri"/>
          <w:b/>
          <w:bCs/>
          <w:kern w:val="2"/>
          <w:sz w:val="36"/>
          <w:szCs w:val="36"/>
          <w:lang w:val="fr-FR"/>
        </w:rPr>
        <w:t xml:space="preserve"> </w:t>
      </w:r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</w:rPr>
        <w:t xml:space="preserve">projektu DALIA se zaměřili </w:t>
      </w:r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  <w:lang w:val="it-IT"/>
        </w:rPr>
        <w:t>na lu</w:t>
      </w:r>
      <w:r w:rsidR="00224919" w:rsidRPr="00F532EA">
        <w:rPr>
          <w:rStyle w:val="dn"/>
          <w:rFonts w:ascii="Calibri" w:hAnsi="Calibri"/>
          <w:b/>
          <w:bCs/>
          <w:kern w:val="2"/>
          <w:sz w:val="36"/>
          <w:szCs w:val="36"/>
        </w:rPr>
        <w:t>žní lesy a hospodaření s vodou v povodí Dunaje</w:t>
      </w:r>
    </w:p>
    <w:p w14:paraId="5318D403" w14:textId="77777777" w:rsidR="00224919" w:rsidRDefault="00224919" w:rsidP="00E67C26">
      <w:pPr>
        <w:spacing w:after="100"/>
        <w:jc w:val="both"/>
        <w:rPr>
          <w:rFonts w:cstheme="minorHAnsi"/>
          <w:b/>
          <w:bCs/>
          <w:noProof/>
          <w:color w:val="000000"/>
          <w:u w:color="000000"/>
        </w:rPr>
      </w:pPr>
    </w:p>
    <w:p w14:paraId="72BF679E" w14:textId="3621093D" w:rsidR="00224919" w:rsidRPr="00224919" w:rsidRDefault="00337CCA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b/>
          <w:bCs/>
          <w:kern w:val="2"/>
        </w:rPr>
      </w:pPr>
      <w:r w:rsidRPr="00224919">
        <w:rPr>
          <w:rFonts w:asciiTheme="minorHAnsi" w:hAnsiTheme="minorHAnsi" w:cstheme="minorHAnsi"/>
          <w:b/>
          <w:bCs/>
          <w:noProof/>
        </w:rPr>
        <w:t xml:space="preserve">Praha, </w:t>
      </w:r>
      <w:r w:rsidR="00224919" w:rsidRPr="00224919">
        <w:rPr>
          <w:rFonts w:asciiTheme="minorHAnsi" w:hAnsiTheme="minorHAnsi" w:cstheme="minorHAnsi"/>
          <w:b/>
          <w:bCs/>
          <w:noProof/>
        </w:rPr>
        <w:t>17. září 2024</w:t>
      </w:r>
      <w:r w:rsidR="000F2931" w:rsidRPr="00224919">
        <w:rPr>
          <w:rFonts w:asciiTheme="minorHAnsi" w:hAnsiTheme="minorHAnsi" w:cstheme="minorHAnsi"/>
          <w:b/>
          <w:bCs/>
          <w:noProof/>
        </w:rPr>
        <w:t xml:space="preserve"> </w:t>
      </w:r>
      <w:r w:rsidR="00224919" w:rsidRPr="00224919">
        <w:rPr>
          <w:rFonts w:asciiTheme="minorHAnsi" w:hAnsiTheme="minorHAnsi" w:cstheme="minorHAnsi"/>
          <w:b/>
          <w:bCs/>
          <w:noProof/>
        </w:rPr>
        <w:t xml:space="preserve">– </w:t>
      </w:r>
      <w:r w:rsidR="00224919" w:rsidRPr="00224919">
        <w:rPr>
          <w:rStyle w:val="dn"/>
          <w:rFonts w:ascii="Calibri" w:hAnsi="Calibri"/>
          <w:b/>
          <w:bCs/>
          <w:kern w:val="2"/>
        </w:rPr>
        <w:t>Lužní lesy, přirozený biotop dolních toků řek, mají zásadní a nenahraditelnou funkci ve vodním režimu krajiny. Dokáž</w:t>
      </w:r>
      <w:r w:rsidR="000E072D">
        <w:rPr>
          <w:rStyle w:val="dn"/>
          <w:rFonts w:ascii="Calibri" w:hAnsi="Calibri"/>
          <w:b/>
          <w:bCs/>
          <w:kern w:val="2"/>
        </w:rPr>
        <w:t>ou</w:t>
      </w:r>
      <w:r w:rsidR="00224919" w:rsidRPr="00224919">
        <w:rPr>
          <w:rStyle w:val="dn"/>
          <w:rFonts w:ascii="Calibri" w:hAnsi="Calibri"/>
          <w:b/>
          <w:bCs/>
          <w:kern w:val="2"/>
        </w:rPr>
        <w:t xml:space="preserve"> pojmout velké množství vody, tím zpomalit průtok případné povodňové vlny a dále vodu uvolňovat do krajiny v sušších obdobích. Současně jsou útočištěm celé řady specializovaných rostlinných a živočišných druhů. Pokud však nezajistíme pravidelné zaplavování lužních lesů, vinou klimatické změny a nadměrného čerpání podzemní vody pro zásobování obyvatel je jejich další existence nejistá. Odborníci z projektu DALIA z osmi zemí regionu povodí Dunaje se právě budoucnosti a managementu lužních lesů věnovali na setkání ve Valticích 11. až 13. září 2024, v předvečer nastupující tlakové níže Boris a následných povodní. </w:t>
      </w:r>
    </w:p>
    <w:p w14:paraId="32E312A7" w14:textId="3EF92025" w:rsidR="00224919" w:rsidRPr="00D22221" w:rsidRDefault="00224919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b/>
          <w:bCs/>
          <w:kern w:val="2"/>
          <w:sz w:val="22"/>
          <w:szCs w:val="22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 xml:space="preserve">Specialisté se ve Valticích věnovali jedné z klíčových pilotních lokalit </w:t>
      </w:r>
      <w:r w:rsidR="00A57198">
        <w:rPr>
          <w:rStyle w:val="dn"/>
          <w:rFonts w:ascii="Calibri" w:hAnsi="Calibri"/>
          <w:kern w:val="2"/>
          <w:sz w:val="22"/>
          <w:szCs w:val="22"/>
        </w:rPr>
        <w:t xml:space="preserve">– </w:t>
      </w:r>
      <w:r w:rsidRPr="00D22221">
        <w:rPr>
          <w:rStyle w:val="dn"/>
          <w:rFonts w:ascii="Calibri" w:hAnsi="Calibri"/>
          <w:kern w:val="2"/>
          <w:sz w:val="22"/>
          <w:szCs w:val="22"/>
        </w:rPr>
        <w:t>lužnímu lesu na soutoku Dyje a Moravy. Ten je zásadně ovlivněn provozem velkých nádrží (například Nové Mlýny, Vranov a Vír) na tocích, které jím protékají. Odborníci z Výzkumného ústavu vodohospodářského TGM se zde zaměřují na detailní monitoring nádrží i pilotní lokality. Ve spolupráci s experty z Fakulty životního prostředí ČZU v Praze naměřené hodnoty vyhodnocují a používají v predikčních matematických modelech pro celkové zhodnocení různých variant klimatické změny a jejích možných dopadů na lužní les obecně. Díky hydrologickým matematickým modelům můžeme doporučit vhodný vodní režim nejen pro fungování lužních lesů v povodí Dyje, ale i v měřítku evropského veletoku.</w:t>
      </w:r>
    </w:p>
    <w:p w14:paraId="4C4F6B8F" w14:textId="77777777" w:rsidR="00224919" w:rsidRPr="00D22221" w:rsidRDefault="00224919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>Většina (52 %) řek v povodí Dunaje nesplňuje kvalitativní kritéria pro povrchové vody, přičemž všechny sledované ukazatele se postupně zhoršují. Projekt DALIA přináší do dunajského povodí komplexní nástroj, jehož cílem je integrovat všechny výstupy a data do centra „DAnube Mission Hub</w:t>
      </w:r>
      <w:r w:rsidRPr="00D22221">
        <w:rPr>
          <w:rStyle w:val="dn"/>
          <w:rFonts w:ascii="Arial Unicode MS" w:hAnsi="Arial Unicode MS"/>
          <w:kern w:val="2"/>
          <w:sz w:val="22"/>
          <w:szCs w:val="22"/>
          <w:rtl/>
        </w:rPr>
        <w:t>“</w:t>
      </w:r>
      <w:r w:rsidRPr="00D22221">
        <w:rPr>
          <w:rStyle w:val="dn"/>
          <w:rFonts w:ascii="Calibri" w:hAnsi="Calibri"/>
          <w:kern w:val="2"/>
          <w:sz w:val="22"/>
          <w:szCs w:val="22"/>
        </w:rPr>
        <w:t>. Umožní tak efektivnější rozhodování o obnově sladkovodních a brakických vodních ekosystémů v dunajském regionu a pomůže nastavení strategií a politik pro lepší propojení a ochranu ekosystémů před extrémními hydrologickými událostmi a hrozbami znečištění. Projekt přispěje k vytvoření iniciativ EU a OSN souvisejících s dalším prováděním rámcové směrnice o vodě v různých zeměpisných oblastech.</w:t>
      </w:r>
    </w:p>
    <w:p w14:paraId="1DDE2418" w14:textId="77777777" w:rsidR="00224919" w:rsidRPr="00D22221" w:rsidRDefault="00224919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0244AE">
        <w:rPr>
          <w:rStyle w:val="dn"/>
          <w:rFonts w:ascii="Calibri" w:hAnsi="Calibri"/>
          <w:i/>
          <w:iCs/>
          <w:kern w:val="2"/>
          <w:sz w:val="22"/>
          <w:szCs w:val="22"/>
        </w:rPr>
        <w:t xml:space="preserve">„Lužní lesy potřebují pro své správné fungování pravidelný režim zaplavování ve vhodných obdobích, což je nezbytné pro přežití mnoha druhů rostlin i živočichů. S příchodem klimatických změn se však tyto podmínky začínají měnit, stejně jako nároky lidské společnosti na dostupnost vody. Řeka Dunaj je tepnou ekosystémů celého Dunajského povodí a má významný dopad na životní prostředí v regionu. Abychom mohli tento složitý a křehký ekosystém účinně spravovat, je třeba uvažovat o povodí jako o celku,“ </w:t>
      </w:r>
      <w:r w:rsidRPr="00D22221">
        <w:rPr>
          <w:rStyle w:val="dn"/>
          <w:rFonts w:ascii="Calibri" w:hAnsi="Calibri"/>
          <w:kern w:val="2"/>
          <w:sz w:val="22"/>
          <w:szCs w:val="22"/>
        </w:rPr>
        <w:t>uvedla Zuzana Boukalová z FŽP ČZU.</w:t>
      </w:r>
    </w:p>
    <w:p w14:paraId="6E1B69B5" w14:textId="76531085" w:rsidR="00224919" w:rsidRPr="00D22221" w:rsidRDefault="00224919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0244AE">
        <w:rPr>
          <w:rStyle w:val="dn"/>
          <w:rFonts w:ascii="Calibri" w:hAnsi="Calibri"/>
          <w:i/>
          <w:iCs/>
          <w:kern w:val="2"/>
          <w:sz w:val="22"/>
          <w:szCs w:val="22"/>
        </w:rPr>
        <w:lastRenderedPageBreak/>
        <w:t xml:space="preserve">„V lokalitách typu lužních lesů, které mohou existovat jen při pravidelném režimu záplav – tedy v obdobích, kdy jimi protéká velké množství vody, je klíčovým tématem právě otázka dostatku vody. V důsledku klimatické změny dochází k výraznějším extrémům, ať už jde o maximální průtoky vody, které mohou způsobit povodně, nebo o delší období sucha. Tyto extrémní jevy se navíc objevují v jiných částech vegetačního období. Zaměřujeme se tak na celkové zhodnocení vlivu klimatické změny na vodní režim v lužních lesích, jejich další možnosti přežití, a to například i s ohledem na možnost přemnožení komárů či jiného hmyzu právě v důsledku změny režimu záplav v čase,“ </w:t>
      </w:r>
      <w:r w:rsidRPr="00D22221">
        <w:rPr>
          <w:rStyle w:val="dn"/>
          <w:rFonts w:ascii="Calibri" w:hAnsi="Calibri"/>
          <w:kern w:val="2"/>
          <w:sz w:val="22"/>
          <w:szCs w:val="22"/>
        </w:rPr>
        <w:t>doplnil Adam Vizina z VÚV TGM.</w:t>
      </w:r>
    </w:p>
    <w:p w14:paraId="2CB33F6A" w14:textId="77777777" w:rsidR="00224919" w:rsidRPr="00D22221" w:rsidRDefault="00224919" w:rsidP="005132E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 xml:space="preserve">Projekt DALIA financovaný Evropskou unií z programu HORIZON EUROPA / Innovation Actions sdružuje 22 odborných organizací – univerzit, úřadů, agentur, malých a středních podniků a nevládních organizací – z osmi různých dunajských zemí EU a potenciálních přidružených zemí. </w:t>
      </w:r>
    </w:p>
    <w:p w14:paraId="73948651" w14:textId="77777777" w:rsidR="00224919" w:rsidRPr="00D22221" w:rsidRDefault="00224919" w:rsidP="0022491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 xml:space="preserve">Webové stránky konsorcia projektu: </w:t>
      </w:r>
      <w:hyperlink r:id="rId8" w:history="1">
        <w:r w:rsidRPr="00D22221">
          <w:rPr>
            <w:rStyle w:val="Hyperlink0"/>
          </w:rPr>
          <w:t xml:space="preserve">DALIA Project </w:t>
        </w:r>
        <w:proofErr w:type="spellStart"/>
        <w:r w:rsidRPr="00D22221">
          <w:rPr>
            <w:rStyle w:val="Hyperlink0"/>
          </w:rPr>
          <w:t>Website</w:t>
        </w:r>
        <w:proofErr w:type="spellEnd"/>
      </w:hyperlink>
      <w:r w:rsidRPr="00D22221">
        <w:rPr>
          <w:rStyle w:val="dn"/>
          <w:rFonts w:ascii="Calibri" w:hAnsi="Calibri"/>
          <w:kern w:val="2"/>
          <w:sz w:val="22"/>
          <w:szCs w:val="22"/>
        </w:rPr>
        <w:t xml:space="preserve"> </w:t>
      </w:r>
    </w:p>
    <w:p w14:paraId="23F1D633" w14:textId="77777777" w:rsidR="00224919" w:rsidRPr="00D22221" w:rsidRDefault="00224919" w:rsidP="0022491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dn"/>
          <w:rFonts w:ascii="Calibri" w:eastAsia="Calibri" w:hAnsi="Calibri" w:cs="Calibri"/>
          <w:kern w:val="2"/>
          <w:sz w:val="22"/>
          <w:szCs w:val="22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 xml:space="preserve">Na webu partnera projektu ČZU: </w:t>
      </w:r>
      <w:hyperlink r:id="rId9" w:history="1">
        <w:r w:rsidRPr="00D22221">
          <w:rPr>
            <w:rStyle w:val="Hyperlink1"/>
          </w:rPr>
          <w:t>https://www.fzp.czu.cz/cs/r-6899-projekty-a-spoluprace/r-6923-projekty/r-19982-dalia-danube-region-water-lighthouse-action</w:t>
        </w:r>
      </w:hyperlink>
    </w:p>
    <w:p w14:paraId="18CAAED7" w14:textId="721AED71" w:rsidR="00224919" w:rsidRDefault="00224919" w:rsidP="00224919">
      <w:pPr>
        <w:rPr>
          <w:rStyle w:val="Hypertextovodkaz"/>
        </w:rPr>
      </w:pPr>
      <w:r w:rsidRPr="00D22221">
        <w:rPr>
          <w:rStyle w:val="dn"/>
          <w:rFonts w:ascii="Calibri" w:hAnsi="Calibri"/>
          <w:kern w:val="2"/>
          <w:sz w:val="22"/>
          <w:szCs w:val="22"/>
        </w:rPr>
        <w:t>Projektové video o lužních lesích:</w:t>
      </w:r>
      <w:r w:rsidR="00EC1156">
        <w:rPr>
          <w:rStyle w:val="Hypertextovodkaz"/>
        </w:rPr>
        <w:t xml:space="preserve"> </w:t>
      </w:r>
    </w:p>
    <w:p w14:paraId="665BE62B" w14:textId="64959524" w:rsidR="00B13FBB" w:rsidRPr="00B13FBB" w:rsidRDefault="00B13FBB" w:rsidP="00B13FBB">
      <w:pPr>
        <w:spacing w:before="100" w:beforeAutospacing="1" w:after="100" w:afterAutospacing="1"/>
        <w:rPr>
          <w:rFonts w:ascii="Times New Roman" w:hAnsi="Times New Roman" w:cs="Times New Roman"/>
          <w:lang w:eastAsia="cs-CZ"/>
        </w:rPr>
      </w:pPr>
      <w:r w:rsidRPr="00B13FB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82D211C" wp14:editId="112162D2">
            <wp:extent cx="2061796" cy="2061796"/>
            <wp:effectExtent l="0" t="0" r="0" b="0"/>
            <wp:docPr id="1078158381" name="Obrázek 3" descr="Obsah obrázku vzor, čtverec, Symetrie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58381" name="Obrázek 3" descr="Obsah obrázku vzor, čtverec, Symetrie,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29" cy="207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A3C9C6" w14:textId="77777777" w:rsidR="000850EB" w:rsidRDefault="000850EB" w:rsidP="000850EB">
      <w:pPr>
        <w:pBdr>
          <w:bottom w:val="single" w:sz="6" w:space="1" w:color="auto"/>
        </w:pBdr>
        <w:jc w:val="both"/>
        <w:rPr>
          <w:rFonts w:cstheme="minorHAnsi"/>
          <w:b/>
          <w:noProof/>
          <w:sz w:val="20"/>
          <w:szCs w:val="20"/>
          <w:lang w:eastAsia="ar-SA"/>
        </w:rPr>
      </w:pPr>
    </w:p>
    <w:p w14:paraId="16807F9B" w14:textId="77777777" w:rsidR="000850EB" w:rsidRDefault="000850EB" w:rsidP="000850EB">
      <w:pPr>
        <w:jc w:val="both"/>
        <w:rPr>
          <w:rFonts w:ascii="Calibri" w:hAnsi="Calibri" w:cs="Calibri"/>
          <w:b/>
          <w:noProof/>
          <w:sz w:val="16"/>
          <w:szCs w:val="16"/>
          <w:lang w:eastAsia="ar-SA"/>
        </w:rPr>
      </w:pPr>
      <w:r>
        <w:rPr>
          <w:rFonts w:ascii="Calibri" w:hAnsi="Calibri" w:cs="Calibr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5AAC2C82" w14:textId="77777777" w:rsidR="000850EB" w:rsidRDefault="000850EB" w:rsidP="000850EB">
      <w:pPr>
        <w:pBdr>
          <w:bottom w:val="single" w:sz="6" w:space="1" w:color="auto"/>
        </w:pBdr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>
        <w:rPr>
          <w:rFonts w:ascii="Calibri" w:hAnsi="Calibri" w:cs="Calibri"/>
          <w:noProof/>
          <w:sz w:val="16"/>
          <w:szCs w:val="16"/>
          <w:lang w:eastAsia="ar-SA"/>
        </w:rPr>
        <w:t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>
        <w:rPr>
          <w:rFonts w:ascii="Calibri" w:hAnsi="Calibri" w:cs="Calibri"/>
          <w:noProof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alibri" w:hAnsi="Calibri" w:cs="Calibri"/>
          <w:noProof/>
          <w:sz w:val="16"/>
          <w:szCs w:val="16"/>
          <w:lang w:eastAsia="ar-SA"/>
        </w:rPr>
        <w:t xml:space="preserve">místě na světě a na sdíleném 4. místě z hodnocených univerzit v ČR. V roce 2023 se ČZU se stala 36. nejekologičtější univerzitou na světě díky umístění v žebříčku UI Green Metric World University Rankings. </w:t>
      </w:r>
    </w:p>
    <w:p w14:paraId="1A3450D8" w14:textId="77777777" w:rsidR="000850EB" w:rsidRDefault="000850EB" w:rsidP="000850EB">
      <w:pPr>
        <w:jc w:val="both"/>
        <w:rPr>
          <w:rFonts w:ascii="Calibri" w:hAnsi="Calibri" w:cs="Calibri"/>
          <w:noProof/>
          <w:sz w:val="16"/>
          <w:szCs w:val="16"/>
        </w:rPr>
      </w:pPr>
    </w:p>
    <w:p w14:paraId="045CA26D" w14:textId="56164D64" w:rsidR="008A6E78" w:rsidRPr="000200A4" w:rsidRDefault="008A6E78" w:rsidP="000850EB">
      <w:pPr>
        <w:jc w:val="both"/>
        <w:rPr>
          <w:rFonts w:cstheme="minorHAnsi"/>
          <w:noProof/>
          <w:sz w:val="20"/>
          <w:szCs w:val="20"/>
        </w:rPr>
      </w:pPr>
    </w:p>
    <w:sectPr w:rsidR="008A6E78" w:rsidRPr="000200A4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97FE4" w14:textId="77777777" w:rsidR="00B25E8D" w:rsidRDefault="00B25E8D" w:rsidP="00091D49">
      <w:r>
        <w:separator/>
      </w:r>
    </w:p>
  </w:endnote>
  <w:endnote w:type="continuationSeparator" w:id="0">
    <w:p w14:paraId="38775FD4" w14:textId="77777777" w:rsidR="00B25E8D" w:rsidRDefault="00B25E8D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32FE2" w14:textId="77777777" w:rsidR="00B25E8D" w:rsidRDefault="00B25E8D" w:rsidP="00091D49">
      <w:r>
        <w:separator/>
      </w:r>
    </w:p>
  </w:footnote>
  <w:footnote w:type="continuationSeparator" w:id="0">
    <w:p w14:paraId="020760B0" w14:textId="77777777" w:rsidR="00B25E8D" w:rsidRDefault="00B25E8D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5132EE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wMbIwtzA1NzAxMTRS0lEKTi0uzszPAykwqQUAaCufoywAAAA="/>
  </w:docVars>
  <w:rsids>
    <w:rsidRoot w:val="008A6E78"/>
    <w:rsid w:val="000158AF"/>
    <w:rsid w:val="000200A4"/>
    <w:rsid w:val="000244AE"/>
    <w:rsid w:val="00041A80"/>
    <w:rsid w:val="00043E23"/>
    <w:rsid w:val="00071E4A"/>
    <w:rsid w:val="0007653C"/>
    <w:rsid w:val="00080B21"/>
    <w:rsid w:val="000850EB"/>
    <w:rsid w:val="00086B96"/>
    <w:rsid w:val="00091D49"/>
    <w:rsid w:val="000A6805"/>
    <w:rsid w:val="000E072D"/>
    <w:rsid w:val="000E262A"/>
    <w:rsid w:val="000F2931"/>
    <w:rsid w:val="00105156"/>
    <w:rsid w:val="00156259"/>
    <w:rsid w:val="00157487"/>
    <w:rsid w:val="00171286"/>
    <w:rsid w:val="00183A3F"/>
    <w:rsid w:val="00187E27"/>
    <w:rsid w:val="00191E85"/>
    <w:rsid w:val="001970C0"/>
    <w:rsid w:val="001A0294"/>
    <w:rsid w:val="001D6585"/>
    <w:rsid w:val="00224919"/>
    <w:rsid w:val="00266416"/>
    <w:rsid w:val="002A01BA"/>
    <w:rsid w:val="002D4927"/>
    <w:rsid w:val="002E4DB6"/>
    <w:rsid w:val="002E7572"/>
    <w:rsid w:val="00310D77"/>
    <w:rsid w:val="00337CCA"/>
    <w:rsid w:val="0035063B"/>
    <w:rsid w:val="00363590"/>
    <w:rsid w:val="0037751A"/>
    <w:rsid w:val="0038787C"/>
    <w:rsid w:val="00397D71"/>
    <w:rsid w:val="003E3E39"/>
    <w:rsid w:val="003E7A19"/>
    <w:rsid w:val="003F3D5A"/>
    <w:rsid w:val="003F7BB6"/>
    <w:rsid w:val="004322A6"/>
    <w:rsid w:val="00433020"/>
    <w:rsid w:val="004A2BDC"/>
    <w:rsid w:val="00504549"/>
    <w:rsid w:val="005132EE"/>
    <w:rsid w:val="00573405"/>
    <w:rsid w:val="005F0305"/>
    <w:rsid w:val="00637A19"/>
    <w:rsid w:val="006546B6"/>
    <w:rsid w:val="006B0848"/>
    <w:rsid w:val="006E1913"/>
    <w:rsid w:val="007005C0"/>
    <w:rsid w:val="0072475B"/>
    <w:rsid w:val="0073095E"/>
    <w:rsid w:val="00731D3E"/>
    <w:rsid w:val="00735AED"/>
    <w:rsid w:val="00784B8B"/>
    <w:rsid w:val="007A177C"/>
    <w:rsid w:val="007B01D4"/>
    <w:rsid w:val="007B7EB9"/>
    <w:rsid w:val="007D7F31"/>
    <w:rsid w:val="00894814"/>
    <w:rsid w:val="008A541F"/>
    <w:rsid w:val="008A6E78"/>
    <w:rsid w:val="008F5B06"/>
    <w:rsid w:val="008F6E9A"/>
    <w:rsid w:val="00945FA4"/>
    <w:rsid w:val="00961E77"/>
    <w:rsid w:val="009765B4"/>
    <w:rsid w:val="00991E58"/>
    <w:rsid w:val="009A0C31"/>
    <w:rsid w:val="009D6A78"/>
    <w:rsid w:val="00A20A61"/>
    <w:rsid w:val="00A257EE"/>
    <w:rsid w:val="00A57198"/>
    <w:rsid w:val="00AA01CD"/>
    <w:rsid w:val="00B1141B"/>
    <w:rsid w:val="00B13FBB"/>
    <w:rsid w:val="00B16DD8"/>
    <w:rsid w:val="00B2163D"/>
    <w:rsid w:val="00B25E8D"/>
    <w:rsid w:val="00B4724C"/>
    <w:rsid w:val="00B832DD"/>
    <w:rsid w:val="00BC2C59"/>
    <w:rsid w:val="00BC32DD"/>
    <w:rsid w:val="00BE670C"/>
    <w:rsid w:val="00C27EFE"/>
    <w:rsid w:val="00CC5C1A"/>
    <w:rsid w:val="00CD33FB"/>
    <w:rsid w:val="00D151CE"/>
    <w:rsid w:val="00D7105E"/>
    <w:rsid w:val="00D75B9D"/>
    <w:rsid w:val="00D765CD"/>
    <w:rsid w:val="00D84678"/>
    <w:rsid w:val="00D9585B"/>
    <w:rsid w:val="00DC33B5"/>
    <w:rsid w:val="00DD0D0C"/>
    <w:rsid w:val="00DD2DC8"/>
    <w:rsid w:val="00E67C26"/>
    <w:rsid w:val="00E85136"/>
    <w:rsid w:val="00E866B2"/>
    <w:rsid w:val="00EB0019"/>
    <w:rsid w:val="00EC1156"/>
    <w:rsid w:val="00F07BEB"/>
    <w:rsid w:val="00F50283"/>
    <w:rsid w:val="00F532EA"/>
    <w:rsid w:val="00F8174A"/>
    <w:rsid w:val="00FA6D4B"/>
    <w:rsid w:val="00FC13A8"/>
    <w:rsid w:val="00FD2396"/>
    <w:rsid w:val="00F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uiPriority w:val="99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57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ia-danube.eu/index.php/ne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zp.czu.cz/cs/r-6899-projekty-a-spoluprace/r-6923-projekty/r-19982-dalia-danube-region-water-lighthouse-ac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7</TotalTime>
  <Pages>2</Pages>
  <Words>760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2024-10-17T07:42:00Z</dcterms:created>
  <dcterms:modified xsi:type="dcterms:W3CDTF">2024-10-17T07:42:00Z</dcterms:modified>
</cp:coreProperties>
</file>