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80EB" w14:textId="77777777" w:rsidR="004941F0" w:rsidRDefault="004941F0" w:rsidP="002E1F11">
      <w:pPr>
        <w:spacing w:after="0" w:line="240" w:lineRule="auto"/>
        <w:jc w:val="center"/>
        <w:rPr>
          <w:rFonts w:eastAsia="Aptos" w:cstheme="minorHAnsi"/>
          <w:b/>
          <w:bCs/>
          <w:sz w:val="36"/>
          <w:szCs w:val="36"/>
        </w:rPr>
      </w:pPr>
    </w:p>
    <w:p w14:paraId="2E2014B7" w14:textId="21843484" w:rsidR="00A400B8" w:rsidRPr="00223913" w:rsidRDefault="00080B21" w:rsidP="002E1F11">
      <w:pPr>
        <w:spacing w:after="0" w:line="240" w:lineRule="auto"/>
        <w:jc w:val="center"/>
        <w:rPr>
          <w:rFonts w:eastAsia="Aptos" w:cstheme="minorHAnsi"/>
          <w:b/>
          <w:bCs/>
          <w:sz w:val="36"/>
          <w:szCs w:val="36"/>
        </w:rPr>
      </w:pPr>
      <w:r w:rsidRPr="00223913">
        <w:rPr>
          <w:rFonts w:cstheme="minorHAnsi"/>
          <w:b/>
          <w:noProof/>
          <w:color w:val="FFFFFF" w:themeColor="background1"/>
          <w:sz w:val="36"/>
          <w:szCs w:val="36"/>
          <w:lang w:eastAsia="cs-CZ"/>
        </w:rPr>
        <mc:AlternateContent>
          <mc:Choice Requires="wps">
            <w:drawing>
              <wp:anchor distT="0" distB="0" distL="0" distR="0" simplePos="0" relativeHeight="251657728" behindDoc="0" locked="1" layoutInCell="1" allowOverlap="0" wp14:anchorId="1554A9B5" wp14:editId="6BFF3B86">
                <wp:simplePos x="0" y="0"/>
                <wp:positionH relativeFrom="margin">
                  <wp:posOffset>-90170</wp:posOffset>
                </wp:positionH>
                <wp:positionV relativeFrom="page">
                  <wp:posOffset>1228725</wp:posOffset>
                </wp:positionV>
                <wp:extent cx="2752725" cy="828675"/>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2752725" cy="828675"/>
                        </a:xfrm>
                        <a:prstGeom prst="rect">
                          <a:avLst/>
                        </a:prstGeom>
                        <a:noFill/>
                        <a:ln w="6350">
                          <a:noFill/>
                        </a:ln>
                      </wps:spPr>
                      <wps:txbx>
                        <w:txbxContent>
                          <w:p w14:paraId="78FC1444"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A9B5" id="_x0000_t202" coordsize="21600,21600" o:spt="202" path="m,l,21600r21600,l21600,xe">
                <v:stroke joinstyle="miter"/>
                <v:path gradientshapeok="t" o:connecttype="rect"/>
              </v:shapetype>
              <v:shape id="Textové pole 2" o:spid="_x0000_s1026" type="#_x0000_t202" style="position:absolute;left:0;text-align:left;margin-left:-7.1pt;margin-top:96.75pt;width:216.75pt;height:65.2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bh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" o:allowoverlap="f" filled="f" stroked="f" strokeweight=".5pt">
                <v:textbox>
                  <w:txbxContent>
                    <w:p w14:paraId="78FC1444"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bookmarkStart w:id="0" w:name="_Hlk103173223"/>
      <w:r w:rsidR="00A400B8" w:rsidRPr="00223913">
        <w:rPr>
          <w:rFonts w:eastAsia="Aptos" w:cstheme="minorHAnsi"/>
          <w:b/>
          <w:bCs/>
          <w:sz w:val="36"/>
          <w:szCs w:val="36"/>
        </w:rPr>
        <w:t>Pylová asistovaná migrace: Nová strategie pro zvýšení odolnosti lesních porostů vůči klimatickým změnám</w:t>
      </w:r>
    </w:p>
    <w:p w14:paraId="45CE27E8" w14:textId="77777777" w:rsidR="004D6F7C" w:rsidRPr="00223913" w:rsidRDefault="004D6F7C" w:rsidP="002E1F11">
      <w:pPr>
        <w:spacing w:after="0" w:line="240" w:lineRule="auto"/>
        <w:jc w:val="both"/>
        <w:rPr>
          <w:rFonts w:cstheme="minorHAnsi"/>
        </w:rPr>
      </w:pPr>
    </w:p>
    <w:p w14:paraId="1FC787A0" w14:textId="5AB19E71" w:rsidR="00A400B8" w:rsidRPr="00223913" w:rsidRDefault="00A400B8" w:rsidP="002E1F11">
      <w:pPr>
        <w:spacing w:after="0" w:line="240" w:lineRule="auto"/>
        <w:rPr>
          <w:rFonts w:cstheme="minorHAnsi"/>
        </w:rPr>
      </w:pPr>
      <w:r w:rsidRPr="00223913">
        <w:rPr>
          <w:rFonts w:eastAsia="Aptos" w:cstheme="minorHAnsi"/>
          <w:b/>
          <w:bCs/>
        </w:rPr>
        <w:t xml:space="preserve">Praha, </w:t>
      </w:r>
      <w:r w:rsidR="002D4D79" w:rsidRPr="00223913">
        <w:rPr>
          <w:rFonts w:eastAsia="Aptos" w:cstheme="minorHAnsi"/>
          <w:b/>
          <w:bCs/>
        </w:rPr>
        <w:t xml:space="preserve">12. února </w:t>
      </w:r>
      <w:r w:rsidR="001F2E81" w:rsidRPr="00223913">
        <w:rPr>
          <w:rFonts w:eastAsia="Aptos" w:cstheme="minorHAnsi"/>
          <w:b/>
          <w:bCs/>
        </w:rPr>
        <w:t xml:space="preserve">2025 </w:t>
      </w:r>
      <w:r w:rsidRPr="00223913">
        <w:rPr>
          <w:rFonts w:eastAsia="Aptos" w:cstheme="minorHAnsi"/>
        </w:rPr>
        <w:t xml:space="preserve">– </w:t>
      </w:r>
      <w:r w:rsidRPr="00223913">
        <w:rPr>
          <w:rFonts w:eastAsia="Aptos" w:cstheme="minorHAnsi"/>
          <w:b/>
          <w:bCs/>
        </w:rPr>
        <w:t xml:space="preserve">Klimatická změna představuje vážné riziko pro stabilitu lesních ekosystémů, které hrají klíčovou roli v ukládání atmosférického uhlíku. Vědci z Fakulty lesnické a dřevařské České zemědělské univerzity v Praze vytvořili koncepci k posílení genetické adaptability lesů na měnící se klimatické podmínky. Navrhli originální řešení tzv. pylovou asistovanou migrací, které publikovali v prestižním vědeckém periodiku </w:t>
      </w:r>
      <w:proofErr w:type="spellStart"/>
      <w:r w:rsidRPr="00223913">
        <w:rPr>
          <w:rFonts w:eastAsia="Aptos" w:cstheme="minorHAnsi"/>
          <w:b/>
          <w:bCs/>
        </w:rPr>
        <w:t>Global</w:t>
      </w:r>
      <w:proofErr w:type="spellEnd"/>
      <w:r w:rsidRPr="00223913">
        <w:rPr>
          <w:rFonts w:eastAsia="Aptos" w:cstheme="minorHAnsi"/>
          <w:b/>
          <w:bCs/>
        </w:rPr>
        <w:t xml:space="preserve"> </w:t>
      </w:r>
      <w:proofErr w:type="spellStart"/>
      <w:r w:rsidRPr="00223913">
        <w:rPr>
          <w:rFonts w:eastAsia="Aptos" w:cstheme="minorHAnsi"/>
          <w:b/>
          <w:bCs/>
        </w:rPr>
        <w:t>Change</w:t>
      </w:r>
      <w:proofErr w:type="spellEnd"/>
      <w:r w:rsidRPr="00223913">
        <w:rPr>
          <w:rFonts w:eastAsia="Aptos" w:cstheme="minorHAnsi"/>
          <w:b/>
          <w:bCs/>
        </w:rPr>
        <w:t xml:space="preserve"> Biology.</w:t>
      </w:r>
    </w:p>
    <w:p w14:paraId="4F0CEDCD" w14:textId="77777777" w:rsidR="002E1F11" w:rsidRDefault="002E1F11" w:rsidP="002E1F11">
      <w:pPr>
        <w:spacing w:after="0" w:line="240" w:lineRule="auto"/>
        <w:rPr>
          <w:rFonts w:eastAsia="Aptos" w:cstheme="minorHAnsi"/>
          <w:i/>
          <w:iCs/>
        </w:rPr>
      </w:pPr>
    </w:p>
    <w:p w14:paraId="44AAC21E" w14:textId="140CEDD6" w:rsidR="00A400B8" w:rsidRPr="00223913" w:rsidRDefault="00A400B8" w:rsidP="002E1F11">
      <w:pPr>
        <w:spacing w:after="0" w:line="240" w:lineRule="auto"/>
        <w:rPr>
          <w:rFonts w:eastAsia="Aptos" w:cstheme="minorHAnsi"/>
        </w:rPr>
      </w:pPr>
      <w:r w:rsidRPr="00223913">
        <w:rPr>
          <w:rFonts w:eastAsia="Aptos" w:cstheme="minorHAnsi"/>
          <w:i/>
          <w:iCs/>
        </w:rPr>
        <w:t xml:space="preserve">„Při </w:t>
      </w:r>
      <w:r w:rsidRPr="00223913">
        <w:rPr>
          <w:rFonts w:cstheme="minorHAnsi"/>
          <w:i/>
          <w:iCs/>
        </w:rPr>
        <w:t>asistované migraci dochází k řízenému přesunu populací lesních dřevin do oblastí, kde se v budoucnu očekávají vhodnější podmínky pro jejich růst a přežití.</w:t>
      </w:r>
      <w:r w:rsidRPr="00223913">
        <w:rPr>
          <w:rFonts w:eastAsia="Aptos" w:cstheme="minorHAnsi"/>
          <w:i/>
          <w:iCs/>
        </w:rPr>
        <w:t xml:space="preserve"> Narozdíl od konvenčního přenosu semen nebo sazenic naše metoda využívá přenosu pylu, což minimalizuje rizika spojená s introdukcí nepůvodních patogenů a zároveň zachovává adaptaci místních populací,“ </w:t>
      </w:r>
      <w:r w:rsidRPr="00223913">
        <w:rPr>
          <w:rFonts w:eastAsia="Aptos" w:cstheme="minorHAnsi"/>
        </w:rPr>
        <w:t xml:space="preserve">vysvětluje inženýr David </w:t>
      </w:r>
      <w:proofErr w:type="spellStart"/>
      <w:r w:rsidRPr="00223913">
        <w:rPr>
          <w:rFonts w:eastAsia="Aptos" w:cstheme="minorHAnsi"/>
        </w:rPr>
        <w:t>Chludil</w:t>
      </w:r>
      <w:proofErr w:type="spellEnd"/>
      <w:r w:rsidRPr="00223913">
        <w:rPr>
          <w:rFonts w:eastAsia="Aptos" w:cstheme="minorHAnsi"/>
        </w:rPr>
        <w:t xml:space="preserve"> z Fakulty lesnické a dřevařské ČZU, hlavní autor studie.</w:t>
      </w:r>
    </w:p>
    <w:p w14:paraId="63FC6819" w14:textId="77777777" w:rsidR="002E1F11" w:rsidRDefault="002E1F11" w:rsidP="002E1F11">
      <w:pPr>
        <w:spacing w:after="0" w:line="240" w:lineRule="auto"/>
        <w:rPr>
          <w:rFonts w:cstheme="minorHAnsi"/>
        </w:rPr>
      </w:pPr>
    </w:p>
    <w:p w14:paraId="65E5CD31" w14:textId="3E0BC11E" w:rsidR="00A400B8" w:rsidRPr="00223913" w:rsidRDefault="00A400B8" w:rsidP="002E1F11">
      <w:pPr>
        <w:spacing w:after="0" w:line="240" w:lineRule="auto"/>
        <w:rPr>
          <w:rFonts w:cstheme="minorHAnsi"/>
        </w:rPr>
      </w:pPr>
      <w:r w:rsidRPr="00223913">
        <w:rPr>
          <w:rFonts w:cstheme="minorHAnsi"/>
        </w:rPr>
        <w:t xml:space="preserve">Někteří lesníci a ekologové se vymezují proti konvenční asistované migraci z důvodu přetrvávající preference lokálních populací. </w:t>
      </w:r>
      <w:bookmarkStart w:id="1" w:name="_Hlk190174795"/>
      <w:r w:rsidRPr="00223913">
        <w:rPr>
          <w:rFonts w:cstheme="minorHAnsi"/>
        </w:rPr>
        <w:t>Toto je ovšem v rozporu s limity adaptace lesních dřevin při probíhající klimatické změně. Například přirozená migrace některých druhů by musela probíhat až stonásobně rychleji, než je biologicky možné, aby se dřeviny dokázaly přizpůsobit rostoucím teplotám. Pylová asistovaná migrace umožňuje oproti konvenčnímu přenosu semen a sazenic částečně zachovat genetickou skladbu lokálních populací a taktéž zohlednit principy ekologického lesnictví.</w:t>
      </w:r>
      <w:bookmarkEnd w:id="1"/>
    </w:p>
    <w:p w14:paraId="5CED3F2B" w14:textId="77777777" w:rsidR="002E1F11" w:rsidRDefault="002E1F11" w:rsidP="002E1F11">
      <w:pPr>
        <w:spacing w:after="0" w:line="240" w:lineRule="auto"/>
        <w:rPr>
          <w:rFonts w:eastAsia="Aptos" w:cstheme="minorHAnsi"/>
          <w:i/>
          <w:iCs/>
        </w:rPr>
      </w:pPr>
    </w:p>
    <w:p w14:paraId="3BFDB7E7" w14:textId="65327CDE" w:rsidR="00A400B8" w:rsidRPr="00223913" w:rsidRDefault="00A400B8" w:rsidP="002E1F11">
      <w:pPr>
        <w:spacing w:after="0" w:line="240" w:lineRule="auto"/>
        <w:rPr>
          <w:rFonts w:cstheme="minorHAnsi"/>
        </w:rPr>
      </w:pPr>
      <w:r w:rsidRPr="001A6C13">
        <w:rPr>
          <w:rFonts w:eastAsia="Aptos" w:cstheme="minorHAnsi"/>
          <w:i/>
          <w:iCs/>
        </w:rPr>
        <w:t>„K realizaci této strategie navrhujeme využít stávajících semenných sadů, běžně využívaných k produkci vysoce kvalitního osiva. Specialisté na lesnickou genetiku disponují technologiemi pro manipulaci s pylem, což umožňuje efektivní aplikaci této metody v lesním hospodářství. Využití lokálních semenných sadů podporuje domácí producenty sadebního materiálu a snižuje závislost na zahraničních dodavatelích,“</w:t>
      </w:r>
      <w:r w:rsidRPr="00223913">
        <w:rPr>
          <w:rFonts w:eastAsia="Aptos" w:cstheme="minorHAnsi"/>
        </w:rPr>
        <w:t xml:space="preserve"> doplňuje senior autor článku, profesor Milan </w:t>
      </w:r>
      <w:proofErr w:type="spellStart"/>
      <w:r w:rsidRPr="00223913">
        <w:rPr>
          <w:rFonts w:eastAsia="Aptos" w:cstheme="minorHAnsi"/>
        </w:rPr>
        <w:t>Lstibůrek</w:t>
      </w:r>
      <w:proofErr w:type="spellEnd"/>
      <w:r w:rsidRPr="00223913">
        <w:rPr>
          <w:rFonts w:eastAsia="Aptos" w:cstheme="minorHAnsi"/>
        </w:rPr>
        <w:t xml:space="preserve"> z Fakulty lesnické a dřevařské ČZU. </w:t>
      </w:r>
    </w:p>
    <w:p w14:paraId="6C965BD7" w14:textId="77777777" w:rsidR="002E1F11" w:rsidRDefault="002E1F11" w:rsidP="002E1F11">
      <w:pPr>
        <w:pBdr>
          <w:bottom w:val="single" w:sz="6" w:space="1" w:color="auto"/>
        </w:pBdr>
        <w:spacing w:after="0" w:line="240" w:lineRule="auto"/>
        <w:rPr>
          <w:rFonts w:cstheme="minorHAnsi"/>
        </w:rPr>
      </w:pPr>
    </w:p>
    <w:p w14:paraId="0F84F05D" w14:textId="149D2B64" w:rsidR="00A400B8" w:rsidRDefault="00A400B8" w:rsidP="002E1F11">
      <w:pPr>
        <w:pBdr>
          <w:bottom w:val="single" w:sz="6" w:space="1" w:color="auto"/>
        </w:pBdr>
        <w:spacing w:after="0" w:line="240" w:lineRule="auto"/>
        <w:rPr>
          <w:rFonts w:cstheme="minorHAnsi"/>
        </w:rPr>
      </w:pPr>
      <w:r w:rsidRPr="00223913">
        <w:rPr>
          <w:rFonts w:cstheme="minorHAnsi"/>
        </w:rPr>
        <w:t>Článek také přináší regionální perspektivu ze střední a severní Evropy. Pozitivním zjištěním je, že pylovou asistovanou migraci lze relativně snadno začlenit do těchto systémů, což otevírá cestu k její praktické aplikaci.</w:t>
      </w:r>
    </w:p>
    <w:p w14:paraId="3FBFBA8B" w14:textId="77777777" w:rsidR="002E1F11" w:rsidRDefault="002E1F11" w:rsidP="002E1F11">
      <w:pPr>
        <w:pBdr>
          <w:bottom w:val="single" w:sz="6" w:space="1" w:color="auto"/>
        </w:pBdr>
        <w:spacing w:after="0" w:line="240" w:lineRule="auto"/>
        <w:rPr>
          <w:rFonts w:cstheme="minorHAnsi"/>
        </w:rPr>
      </w:pPr>
    </w:p>
    <w:p w14:paraId="1A277DF9" w14:textId="2325246C" w:rsidR="00FF5FB1" w:rsidRPr="004941F0" w:rsidRDefault="00A400B8" w:rsidP="002E1F11">
      <w:pPr>
        <w:shd w:val="clear" w:color="auto" w:fill="FFFFFF" w:themeFill="background1"/>
        <w:spacing w:after="0" w:line="240" w:lineRule="auto"/>
        <w:ind w:right="225"/>
        <w:rPr>
          <w:rFonts w:eastAsia="Arial" w:cstheme="minorHAnsi"/>
          <w:b/>
          <w:bCs/>
          <w:color w:val="136945"/>
          <w:sz w:val="20"/>
          <w:szCs w:val="20"/>
        </w:rPr>
      </w:pPr>
      <w:r w:rsidRPr="004941F0">
        <w:rPr>
          <w:rFonts w:eastAsia="Aptos" w:cstheme="minorHAnsi"/>
          <w:b/>
          <w:bCs/>
          <w:sz w:val="20"/>
          <w:szCs w:val="20"/>
        </w:rPr>
        <w:t xml:space="preserve">Kontakt pro média: </w:t>
      </w:r>
      <w:r w:rsidR="004941F0">
        <w:rPr>
          <w:rFonts w:eastAsia="Aptos" w:cstheme="minorHAnsi"/>
          <w:b/>
          <w:bCs/>
          <w:sz w:val="20"/>
          <w:szCs w:val="20"/>
        </w:rPr>
        <w:tab/>
      </w:r>
      <w:r w:rsidR="0059510A" w:rsidRPr="004941F0">
        <w:rPr>
          <w:rFonts w:eastAsia="Arial" w:cstheme="minorHAnsi"/>
          <w:b/>
          <w:bCs/>
          <w:color w:val="136945"/>
          <w:sz w:val="20"/>
          <w:szCs w:val="20"/>
        </w:rPr>
        <w:t xml:space="preserve">prof. Ing. Milan </w:t>
      </w:r>
      <w:proofErr w:type="spellStart"/>
      <w:r w:rsidR="00C83A02" w:rsidRPr="004941F0">
        <w:rPr>
          <w:rFonts w:eastAsia="Arial" w:cstheme="minorHAnsi"/>
          <w:b/>
          <w:bCs/>
          <w:color w:val="136945"/>
          <w:sz w:val="20"/>
          <w:szCs w:val="20"/>
        </w:rPr>
        <w:t>Lstibůrek</w:t>
      </w:r>
      <w:proofErr w:type="spellEnd"/>
      <w:r w:rsidR="00C83A02" w:rsidRPr="004941F0">
        <w:rPr>
          <w:rFonts w:eastAsia="Arial" w:cstheme="minorHAnsi"/>
          <w:b/>
          <w:bCs/>
          <w:color w:val="136945"/>
          <w:sz w:val="20"/>
          <w:szCs w:val="20"/>
        </w:rPr>
        <w:t xml:space="preserve">, </w:t>
      </w:r>
      <w:proofErr w:type="spellStart"/>
      <w:r w:rsidR="00FF5FB1" w:rsidRPr="004941F0">
        <w:rPr>
          <w:rFonts w:eastAsia="Arial" w:cstheme="minorHAnsi"/>
          <w:b/>
          <w:bCs/>
          <w:color w:val="136945"/>
          <w:sz w:val="20"/>
          <w:szCs w:val="20"/>
        </w:rPr>
        <w:t>MSc</w:t>
      </w:r>
      <w:proofErr w:type="spellEnd"/>
      <w:r w:rsidR="00FF5FB1" w:rsidRPr="004941F0">
        <w:rPr>
          <w:rFonts w:eastAsia="Arial" w:cstheme="minorHAnsi"/>
          <w:b/>
          <w:bCs/>
          <w:color w:val="136945"/>
          <w:sz w:val="20"/>
          <w:szCs w:val="20"/>
        </w:rPr>
        <w:t>., Ph.D.</w:t>
      </w:r>
    </w:p>
    <w:p w14:paraId="22B4BB62" w14:textId="36E290D2" w:rsidR="004941F0" w:rsidRDefault="00FF5FB1" w:rsidP="002E1F11">
      <w:pPr>
        <w:spacing w:after="0" w:line="240" w:lineRule="auto"/>
        <w:ind w:left="1416" w:firstLine="708"/>
        <w:rPr>
          <w:rFonts w:eastAsia="Times New Roman"/>
          <w:color w:val="000000"/>
          <w:sz w:val="20"/>
          <w:szCs w:val="20"/>
        </w:rPr>
      </w:pPr>
      <w:r w:rsidRPr="004941F0">
        <w:rPr>
          <w:rFonts w:eastAsia="Arial" w:cstheme="minorHAnsi"/>
          <w:sz w:val="20"/>
          <w:szCs w:val="20"/>
        </w:rPr>
        <w:t>e-mail:</w:t>
      </w:r>
      <w:r w:rsidRPr="004941F0">
        <w:rPr>
          <w:rFonts w:eastAsia="Arial" w:cstheme="minorHAnsi"/>
          <w:b/>
          <w:bCs/>
          <w:sz w:val="20"/>
          <w:szCs w:val="20"/>
        </w:rPr>
        <w:t xml:space="preserve"> </w:t>
      </w:r>
      <w:hyperlink r:id="rId11" w:history="1">
        <w:r w:rsidR="004941F0" w:rsidRPr="004941F0">
          <w:rPr>
            <w:rStyle w:val="Hypertextovodkaz"/>
            <w:rFonts w:eastAsia="Times New Roman"/>
            <w:sz w:val="20"/>
            <w:szCs w:val="20"/>
          </w:rPr>
          <w:t>lstiburek@fld.czu.cz</w:t>
        </w:r>
      </w:hyperlink>
    </w:p>
    <w:p w14:paraId="0B1A4784" w14:textId="77777777" w:rsidR="002E1F11" w:rsidRPr="004941F0" w:rsidRDefault="002E1F11" w:rsidP="002E1F11">
      <w:pPr>
        <w:spacing w:after="0" w:line="240" w:lineRule="auto"/>
        <w:ind w:left="1416" w:firstLine="708"/>
        <w:rPr>
          <w:rFonts w:eastAsia="Times New Roman"/>
          <w:color w:val="000000"/>
          <w:sz w:val="20"/>
          <w:szCs w:val="20"/>
        </w:rPr>
      </w:pPr>
    </w:p>
    <w:p w14:paraId="27A8B53D" w14:textId="77777777" w:rsidR="002E1F11" w:rsidRDefault="002E1F11" w:rsidP="002E1F11">
      <w:pPr>
        <w:spacing w:after="0" w:line="240" w:lineRule="auto"/>
        <w:rPr>
          <w:rFonts w:cstheme="minorHAnsi"/>
          <w:b/>
          <w:bCs/>
          <w:color w:val="000000" w:themeColor="text1"/>
        </w:rPr>
      </w:pPr>
    </w:p>
    <w:p w14:paraId="71D254CC" w14:textId="77777777" w:rsidR="002E1F11" w:rsidRDefault="002E1F11" w:rsidP="002E1F11">
      <w:pPr>
        <w:spacing w:after="0" w:line="240" w:lineRule="auto"/>
        <w:rPr>
          <w:rFonts w:cstheme="minorHAnsi"/>
          <w:b/>
          <w:bCs/>
          <w:color w:val="000000" w:themeColor="text1"/>
        </w:rPr>
      </w:pPr>
    </w:p>
    <w:p w14:paraId="2C15F463" w14:textId="77777777" w:rsidR="002E1F11" w:rsidRDefault="002E1F11" w:rsidP="002E1F11">
      <w:pPr>
        <w:spacing w:after="0" w:line="240" w:lineRule="auto"/>
        <w:rPr>
          <w:rFonts w:cstheme="minorHAnsi"/>
          <w:b/>
          <w:bCs/>
          <w:color w:val="000000" w:themeColor="text1"/>
          <w:sz w:val="20"/>
          <w:szCs w:val="20"/>
        </w:rPr>
      </w:pPr>
    </w:p>
    <w:p w14:paraId="5EB28124" w14:textId="54932597" w:rsidR="00A400B8" w:rsidRPr="002E1F11" w:rsidRDefault="00A400B8" w:rsidP="002E1F11">
      <w:pPr>
        <w:spacing w:after="0" w:line="240" w:lineRule="auto"/>
        <w:rPr>
          <w:rFonts w:eastAsia="Aptos" w:cstheme="minorHAnsi"/>
          <w:sz w:val="20"/>
          <w:szCs w:val="20"/>
        </w:rPr>
      </w:pPr>
      <w:r w:rsidRPr="002E1F11">
        <w:rPr>
          <w:rFonts w:cstheme="minorHAnsi"/>
          <w:b/>
          <w:bCs/>
          <w:color w:val="000000" w:themeColor="text1"/>
          <w:sz w:val="20"/>
          <w:szCs w:val="20"/>
        </w:rPr>
        <w:lastRenderedPageBreak/>
        <w:t>Originální článek:</w:t>
      </w:r>
      <w:r w:rsidR="002E1F11" w:rsidRPr="002E1F11">
        <w:rPr>
          <w:rFonts w:cstheme="minorHAnsi"/>
          <w:b/>
          <w:bCs/>
          <w:color w:val="000000" w:themeColor="text1"/>
          <w:sz w:val="20"/>
          <w:szCs w:val="20"/>
        </w:rPr>
        <w:t xml:space="preserve"> </w:t>
      </w:r>
      <w:proofErr w:type="spellStart"/>
      <w:r w:rsidRPr="002E1F11">
        <w:rPr>
          <w:rFonts w:eastAsia="Aptos" w:cstheme="minorHAnsi"/>
          <w:b/>
          <w:bCs/>
          <w:sz w:val="20"/>
          <w:szCs w:val="20"/>
        </w:rPr>
        <w:t>Chludil</w:t>
      </w:r>
      <w:proofErr w:type="spellEnd"/>
      <w:r w:rsidRPr="002E1F11">
        <w:rPr>
          <w:rFonts w:eastAsia="Aptos" w:cstheme="minorHAnsi"/>
          <w:b/>
          <w:bCs/>
          <w:sz w:val="20"/>
          <w:szCs w:val="20"/>
        </w:rPr>
        <w:t xml:space="preserve">, D., </w:t>
      </w:r>
      <w:proofErr w:type="spellStart"/>
      <w:r w:rsidRPr="002E1F11">
        <w:rPr>
          <w:rFonts w:eastAsia="Aptos" w:cstheme="minorHAnsi"/>
          <w:b/>
          <w:bCs/>
          <w:sz w:val="20"/>
          <w:szCs w:val="20"/>
        </w:rPr>
        <w:t>Čepl</w:t>
      </w:r>
      <w:proofErr w:type="spellEnd"/>
      <w:r w:rsidRPr="002E1F11">
        <w:rPr>
          <w:rFonts w:eastAsia="Aptos" w:cstheme="minorHAnsi"/>
          <w:b/>
          <w:bCs/>
          <w:sz w:val="20"/>
          <w:szCs w:val="20"/>
        </w:rPr>
        <w:t xml:space="preserve">, J., </w:t>
      </w:r>
      <w:proofErr w:type="spellStart"/>
      <w:r w:rsidRPr="002E1F11">
        <w:rPr>
          <w:rFonts w:eastAsia="Aptos" w:cstheme="minorHAnsi"/>
          <w:b/>
          <w:bCs/>
          <w:sz w:val="20"/>
          <w:szCs w:val="20"/>
        </w:rPr>
        <w:t>Steffenrem</w:t>
      </w:r>
      <w:proofErr w:type="spellEnd"/>
      <w:r w:rsidRPr="002E1F11">
        <w:rPr>
          <w:rFonts w:eastAsia="Aptos" w:cstheme="minorHAnsi"/>
          <w:b/>
          <w:bCs/>
          <w:sz w:val="20"/>
          <w:szCs w:val="20"/>
        </w:rPr>
        <w:t xml:space="preserve">, A., Stejskal, J., </w:t>
      </w:r>
      <w:proofErr w:type="spellStart"/>
      <w:r w:rsidRPr="002E1F11">
        <w:rPr>
          <w:rFonts w:eastAsia="Aptos" w:cstheme="minorHAnsi"/>
          <w:b/>
          <w:bCs/>
          <w:sz w:val="20"/>
          <w:szCs w:val="20"/>
        </w:rPr>
        <w:t>Sagariya</w:t>
      </w:r>
      <w:proofErr w:type="spellEnd"/>
      <w:r w:rsidRPr="002E1F11">
        <w:rPr>
          <w:rFonts w:eastAsia="Aptos" w:cstheme="minorHAnsi"/>
          <w:b/>
          <w:bCs/>
          <w:sz w:val="20"/>
          <w:szCs w:val="20"/>
        </w:rPr>
        <w:t xml:space="preserve">, C., </w:t>
      </w:r>
      <w:proofErr w:type="spellStart"/>
      <w:r w:rsidRPr="002E1F11">
        <w:rPr>
          <w:rFonts w:eastAsia="Aptos" w:cstheme="minorHAnsi"/>
          <w:b/>
          <w:bCs/>
          <w:sz w:val="20"/>
          <w:szCs w:val="20"/>
        </w:rPr>
        <w:t>Pook</w:t>
      </w:r>
      <w:proofErr w:type="spellEnd"/>
      <w:r w:rsidRPr="002E1F11">
        <w:rPr>
          <w:rFonts w:eastAsia="Aptos" w:cstheme="minorHAnsi"/>
          <w:b/>
          <w:bCs/>
          <w:sz w:val="20"/>
          <w:szCs w:val="20"/>
        </w:rPr>
        <w:t xml:space="preserve">, T., </w:t>
      </w:r>
      <w:proofErr w:type="spellStart"/>
      <w:r w:rsidRPr="002E1F11">
        <w:rPr>
          <w:rFonts w:eastAsia="Aptos" w:cstheme="minorHAnsi"/>
          <w:b/>
          <w:bCs/>
          <w:sz w:val="20"/>
          <w:szCs w:val="20"/>
        </w:rPr>
        <w:t>Schueler</w:t>
      </w:r>
      <w:proofErr w:type="spellEnd"/>
      <w:r w:rsidRPr="002E1F11">
        <w:rPr>
          <w:rFonts w:eastAsia="Aptos" w:cstheme="minorHAnsi"/>
          <w:b/>
          <w:bCs/>
          <w:sz w:val="20"/>
          <w:szCs w:val="20"/>
        </w:rPr>
        <w:t xml:space="preserve">, S., Korecký, J., </w:t>
      </w:r>
      <w:proofErr w:type="spellStart"/>
      <w:r w:rsidRPr="002E1F11">
        <w:rPr>
          <w:rFonts w:eastAsia="Aptos" w:cstheme="minorHAnsi"/>
          <w:b/>
          <w:bCs/>
          <w:sz w:val="20"/>
          <w:szCs w:val="20"/>
        </w:rPr>
        <w:t>Almqvist</w:t>
      </w:r>
      <w:proofErr w:type="spellEnd"/>
      <w:r w:rsidRPr="002E1F11">
        <w:rPr>
          <w:rFonts w:eastAsia="Aptos" w:cstheme="minorHAnsi"/>
          <w:b/>
          <w:bCs/>
          <w:sz w:val="20"/>
          <w:szCs w:val="20"/>
        </w:rPr>
        <w:t xml:space="preserve">, C., </w:t>
      </w:r>
      <w:proofErr w:type="spellStart"/>
      <w:r w:rsidRPr="002E1F11">
        <w:rPr>
          <w:rFonts w:eastAsia="Aptos" w:cstheme="minorHAnsi"/>
          <w:b/>
          <w:bCs/>
          <w:sz w:val="20"/>
          <w:szCs w:val="20"/>
        </w:rPr>
        <w:t>Chakraborty</w:t>
      </w:r>
      <w:proofErr w:type="spellEnd"/>
      <w:r w:rsidRPr="002E1F11">
        <w:rPr>
          <w:rFonts w:eastAsia="Aptos" w:cstheme="minorHAnsi"/>
          <w:b/>
          <w:bCs/>
          <w:sz w:val="20"/>
          <w:szCs w:val="20"/>
        </w:rPr>
        <w:t xml:space="preserve">, D., </w:t>
      </w:r>
      <w:proofErr w:type="spellStart"/>
      <w:r w:rsidRPr="002E1F11">
        <w:rPr>
          <w:rFonts w:eastAsia="Aptos" w:cstheme="minorHAnsi"/>
          <w:b/>
          <w:bCs/>
          <w:sz w:val="20"/>
          <w:szCs w:val="20"/>
        </w:rPr>
        <w:t>Berlin</w:t>
      </w:r>
      <w:proofErr w:type="spellEnd"/>
      <w:r w:rsidRPr="002E1F11">
        <w:rPr>
          <w:rFonts w:eastAsia="Aptos" w:cstheme="minorHAnsi"/>
          <w:b/>
          <w:bCs/>
          <w:sz w:val="20"/>
          <w:szCs w:val="20"/>
        </w:rPr>
        <w:t xml:space="preserve">, M., &amp; </w:t>
      </w:r>
      <w:proofErr w:type="spellStart"/>
      <w:r w:rsidRPr="002E1F11">
        <w:rPr>
          <w:rFonts w:eastAsia="Aptos" w:cstheme="minorHAnsi"/>
          <w:b/>
          <w:bCs/>
          <w:sz w:val="20"/>
          <w:szCs w:val="20"/>
        </w:rPr>
        <w:t>Lstibůrek</w:t>
      </w:r>
      <w:proofErr w:type="spellEnd"/>
      <w:r w:rsidRPr="002E1F11">
        <w:rPr>
          <w:rFonts w:eastAsia="Aptos" w:cstheme="minorHAnsi"/>
          <w:b/>
          <w:bCs/>
          <w:sz w:val="20"/>
          <w:szCs w:val="20"/>
        </w:rPr>
        <w:t>, M.</w:t>
      </w:r>
      <w:r w:rsidRPr="002E1F11">
        <w:rPr>
          <w:rFonts w:eastAsia="Aptos" w:cstheme="minorHAnsi"/>
          <w:sz w:val="20"/>
          <w:szCs w:val="20"/>
        </w:rPr>
        <w:t xml:space="preserve"> (2025). </w:t>
      </w:r>
      <w:r w:rsidRPr="002E1F11">
        <w:rPr>
          <w:rFonts w:eastAsia="Aptos" w:cstheme="minorHAnsi"/>
          <w:i/>
          <w:iCs/>
          <w:sz w:val="20"/>
          <w:szCs w:val="20"/>
          <w:lang w:val="en-US"/>
        </w:rPr>
        <w:t>A Pollen‐Based Assisted Migration for Rapid Forest Adaptation.</w:t>
      </w:r>
      <w:r w:rsidRPr="002E1F11">
        <w:rPr>
          <w:rFonts w:eastAsia="Aptos" w:cstheme="minorHAnsi"/>
          <w:sz w:val="20"/>
          <w:szCs w:val="20"/>
          <w:lang w:val="en-US"/>
        </w:rPr>
        <w:t xml:space="preserve"> Global Change Biology, </w:t>
      </w:r>
      <w:proofErr w:type="gramStart"/>
      <w:r w:rsidRPr="002E1F11">
        <w:rPr>
          <w:rFonts w:eastAsia="Aptos" w:cstheme="minorHAnsi"/>
          <w:sz w:val="20"/>
          <w:szCs w:val="20"/>
          <w:lang w:val="en-US"/>
        </w:rPr>
        <w:t>31:e</w:t>
      </w:r>
      <w:proofErr w:type="gramEnd"/>
      <w:r w:rsidRPr="002E1F11">
        <w:rPr>
          <w:rFonts w:eastAsia="Aptos" w:cstheme="minorHAnsi"/>
          <w:sz w:val="20"/>
          <w:szCs w:val="20"/>
          <w:lang w:val="en-US"/>
        </w:rPr>
        <w:t xml:space="preserve">70014. </w:t>
      </w:r>
      <w:hyperlink r:id="rId12">
        <w:r w:rsidRPr="002E1F11">
          <w:rPr>
            <w:rStyle w:val="Hypertextovodkaz"/>
            <w:rFonts w:eastAsia="Aptos" w:cstheme="minorHAnsi"/>
            <w:sz w:val="20"/>
            <w:szCs w:val="20"/>
          </w:rPr>
          <w:t>https://doi.org/10.1111/gcb.70014</w:t>
        </w:r>
      </w:hyperlink>
    </w:p>
    <w:p w14:paraId="6CE733F6" w14:textId="77777777" w:rsidR="003B06DA" w:rsidRDefault="003B06DA" w:rsidP="002E1F11">
      <w:pPr>
        <w:spacing w:after="0" w:line="240" w:lineRule="auto"/>
        <w:rPr>
          <w:rFonts w:eastAsia="Aptos" w:cstheme="minorHAnsi"/>
          <w:b/>
          <w:bCs/>
        </w:rPr>
      </w:pPr>
    </w:p>
    <w:p w14:paraId="0111377F" w14:textId="00DE581E" w:rsidR="00A400B8" w:rsidRPr="00223913" w:rsidRDefault="00A400B8" w:rsidP="002E1F11">
      <w:pPr>
        <w:spacing w:after="0" w:line="240" w:lineRule="auto"/>
        <w:rPr>
          <w:rFonts w:eastAsia="Aptos" w:cstheme="minorHAnsi"/>
          <w:b/>
          <w:bCs/>
        </w:rPr>
      </w:pPr>
      <w:r w:rsidRPr="00223913">
        <w:rPr>
          <w:rFonts w:eastAsia="Aptos" w:cstheme="minorHAnsi"/>
          <w:b/>
          <w:bCs/>
        </w:rPr>
        <w:t>Obrázek k využití:</w:t>
      </w:r>
    </w:p>
    <w:p w14:paraId="0C8AA874" w14:textId="77777777" w:rsidR="00A400B8" w:rsidRPr="00223913" w:rsidRDefault="00A400B8" w:rsidP="002E1F11">
      <w:pPr>
        <w:spacing w:after="0" w:line="240" w:lineRule="auto"/>
        <w:rPr>
          <w:rFonts w:eastAsiaTheme="minorEastAsia" w:cstheme="minorHAnsi"/>
        </w:rPr>
      </w:pPr>
      <w:r w:rsidRPr="00223913">
        <w:rPr>
          <w:rFonts w:eastAsiaTheme="minorEastAsia" w:cstheme="minorHAnsi"/>
        </w:rPr>
        <w:t>Pravděpodobnost rozšíření smrku ztepilého v Evropě v očekávaných klimatických podmínkách v rozmezí let 2041–2060. Hnědé body jsou pozice jednotlivých semenných sadů v Evropě. Schéma znázorňuje přenos pylu mezi semennými sady s následnou produkcí sazenic pro zalesnění.</w:t>
      </w:r>
    </w:p>
    <w:p w14:paraId="3E6D2F27" w14:textId="77777777" w:rsidR="00A400B8" w:rsidRPr="00223913" w:rsidRDefault="00A400B8" w:rsidP="002E1F11">
      <w:pPr>
        <w:spacing w:after="0" w:line="240" w:lineRule="auto"/>
        <w:rPr>
          <w:rFonts w:cstheme="minorHAnsi"/>
        </w:rPr>
      </w:pPr>
    </w:p>
    <w:p w14:paraId="7DB6B54E" w14:textId="77777777" w:rsidR="00A400B8" w:rsidRPr="00223913" w:rsidRDefault="00A400B8" w:rsidP="002E1F11">
      <w:pPr>
        <w:spacing w:after="0" w:line="240" w:lineRule="auto"/>
        <w:jc w:val="center"/>
        <w:rPr>
          <w:rFonts w:eastAsiaTheme="minorEastAsia" w:cstheme="minorHAnsi"/>
        </w:rPr>
      </w:pPr>
      <w:r w:rsidRPr="00223913">
        <w:rPr>
          <w:rFonts w:cstheme="minorHAnsi"/>
          <w:noProof/>
        </w:rPr>
        <w:drawing>
          <wp:inline distT="0" distB="0" distL="0" distR="0" wp14:anchorId="65567A74" wp14:editId="0B63D320">
            <wp:extent cx="4680000" cy="3114809"/>
            <wp:effectExtent l="0" t="0" r="0" b="0"/>
            <wp:docPr id="1554603769" name="Obrázek 1554603769" descr="Obsah obrázku mapa,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03769" name="Obrázek 1554603769" descr="Obsah obrázku mapa, text&#10;&#10;Obsah vygenerovaný umělou inteligencí může být nesprávný."/>
                    <pic:cNvPicPr/>
                  </pic:nvPicPr>
                  <pic:blipFill>
                    <a:blip r:embed="rId13">
                      <a:extLst>
                        <a:ext uri="{28A0092B-C50C-407E-A947-70E740481C1C}">
                          <a14:useLocalDpi xmlns:a14="http://schemas.microsoft.com/office/drawing/2010/main" val="0"/>
                        </a:ext>
                      </a:extLst>
                    </a:blip>
                    <a:stretch>
                      <a:fillRect/>
                    </a:stretch>
                  </pic:blipFill>
                  <pic:spPr>
                    <a:xfrm>
                      <a:off x="0" y="0"/>
                      <a:ext cx="4680000" cy="3114809"/>
                    </a:xfrm>
                    <a:prstGeom prst="rect">
                      <a:avLst/>
                    </a:prstGeom>
                  </pic:spPr>
                </pic:pic>
              </a:graphicData>
            </a:graphic>
          </wp:inline>
        </w:drawing>
      </w:r>
    </w:p>
    <w:bookmarkEnd w:id="0"/>
    <w:p w14:paraId="2622CECE" w14:textId="77777777" w:rsidR="00721CF8" w:rsidRPr="00223913" w:rsidRDefault="00721CF8" w:rsidP="002E1F11">
      <w:pPr>
        <w:pBdr>
          <w:bottom w:val="single" w:sz="6" w:space="1" w:color="auto"/>
        </w:pBdr>
        <w:spacing w:after="0" w:line="240" w:lineRule="auto"/>
        <w:jc w:val="both"/>
        <w:rPr>
          <w:rFonts w:eastAsia="Times New Roman" w:cstheme="minorHAnsi"/>
          <w:b/>
          <w:noProof/>
          <w:sz w:val="20"/>
          <w:szCs w:val="20"/>
          <w:lang w:eastAsia="ar-SA"/>
        </w:rPr>
      </w:pPr>
    </w:p>
    <w:p w14:paraId="2DE4C957" w14:textId="77777777" w:rsidR="003B06DA" w:rsidRDefault="003B06DA" w:rsidP="002E1F11">
      <w:pPr>
        <w:spacing w:after="0" w:line="240" w:lineRule="auto"/>
        <w:rPr>
          <w:rFonts w:cstheme="minorHAnsi"/>
          <w:b/>
          <w:noProof/>
          <w:sz w:val="24"/>
          <w:szCs w:val="24"/>
          <w:lang w:eastAsia="ar-SA"/>
        </w:rPr>
      </w:pPr>
    </w:p>
    <w:p w14:paraId="2F0D4035" w14:textId="24CED597" w:rsidR="00BC05A0" w:rsidRPr="00223913" w:rsidRDefault="00BC05A0" w:rsidP="002E1F11">
      <w:pPr>
        <w:spacing w:after="0" w:line="240" w:lineRule="auto"/>
        <w:rPr>
          <w:rFonts w:eastAsia="Times New Roman" w:cstheme="minorHAnsi"/>
          <w:b/>
          <w:noProof/>
          <w:sz w:val="24"/>
          <w:szCs w:val="24"/>
          <w:lang w:eastAsia="ar-SA"/>
        </w:rPr>
      </w:pPr>
      <w:r w:rsidRPr="00223913">
        <w:rPr>
          <w:rFonts w:cstheme="minorHAnsi"/>
          <w:b/>
          <w:noProof/>
          <w:sz w:val="24"/>
          <w:szCs w:val="24"/>
          <w:lang w:eastAsia="ar-SA"/>
        </w:rPr>
        <w:t xml:space="preserve">Česká zemědělská univerzita v Praze </w:t>
      </w:r>
    </w:p>
    <w:p w14:paraId="2272AFCB" w14:textId="77777777" w:rsidR="003B06DA" w:rsidRDefault="003B06DA" w:rsidP="002E1F11">
      <w:pPr>
        <w:spacing w:after="0" w:line="240" w:lineRule="auto"/>
        <w:jc w:val="both"/>
        <w:rPr>
          <w:rFonts w:cstheme="minorHAnsi"/>
          <w:noProof/>
          <w:sz w:val="20"/>
          <w:szCs w:val="20"/>
          <w:lang w:eastAsia="ar-SA"/>
        </w:rPr>
      </w:pPr>
    </w:p>
    <w:p w14:paraId="2A6504BA" w14:textId="7CC165FE" w:rsidR="00BC05A0" w:rsidRPr="00223913" w:rsidRDefault="00BC05A0" w:rsidP="002E1F11">
      <w:pPr>
        <w:spacing w:after="0" w:line="240" w:lineRule="auto"/>
        <w:jc w:val="both"/>
        <w:rPr>
          <w:rFonts w:cstheme="minorHAnsi"/>
          <w:noProof/>
          <w:sz w:val="20"/>
          <w:szCs w:val="20"/>
          <w:lang w:eastAsia="ar-SA"/>
        </w:rPr>
      </w:pPr>
      <w:r w:rsidRPr="00223913">
        <w:rPr>
          <w:rFonts w:cstheme="minorHAnsi"/>
          <w:noProof/>
          <w:sz w:val="20"/>
          <w:szCs w:val="20"/>
          <w:lang w:eastAsia="ar-SA"/>
        </w:rPr>
        <w:t>ČZU je čtvrtou až pátou největší univerzitou v ČR. Spojuje v sobě bezmála stodvacetiletou tradici s nejmodernějšími technologiemi, progresivní vědou a výzkumem v oblasti zemědělství a lesnictví, ekologie a životního prostředí, technologií a techniky, ekonomie a managementu. Moderně vybavené laboratoře se špičkovým zázemím a školní podniky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2024 umístila na 801.–900.</w:t>
      </w:r>
      <w:r w:rsidRPr="00223913">
        <w:rPr>
          <w:rFonts w:cstheme="minorHAnsi"/>
          <w:color w:val="000000"/>
          <w:sz w:val="20"/>
          <w:szCs w:val="20"/>
          <w:shd w:val="clear" w:color="auto" w:fill="FFFFFF"/>
        </w:rPr>
        <w:t xml:space="preserve"> </w:t>
      </w:r>
      <w:r w:rsidRPr="00223913">
        <w:rPr>
          <w:rFonts w:cstheme="minorHAnsi"/>
          <w:noProof/>
          <w:sz w:val="20"/>
          <w:szCs w:val="20"/>
          <w:lang w:eastAsia="ar-SA"/>
        </w:rPr>
        <w:t xml:space="preserve">místě na světě a na sdíleném 5. místě z hodnocených univerzit v ČR. V roce 2024 se ČZU stala 31. nejekologičtější univerzitou na světě díky umístění v žebříčku UI Green Metric World University Rankings. </w:t>
      </w:r>
    </w:p>
    <w:p w14:paraId="35217C58" w14:textId="48C5DFDA" w:rsidR="00BC05A0" w:rsidRPr="00223913" w:rsidRDefault="00BC05A0" w:rsidP="002E1F11">
      <w:pPr>
        <w:pStyle w:val="Zpat"/>
        <w:pBdr>
          <w:bottom w:val="single" w:sz="6" w:space="1" w:color="auto"/>
        </w:pBdr>
        <w:rPr>
          <w:rFonts w:asciiTheme="minorHAnsi" w:hAnsiTheme="minorHAnsi" w:cstheme="minorHAnsi"/>
          <w:noProof/>
          <w:sz w:val="20"/>
          <w:szCs w:val="20"/>
        </w:rPr>
      </w:pPr>
    </w:p>
    <w:p w14:paraId="3D5DE359" w14:textId="77777777" w:rsidR="00BC05A0" w:rsidRPr="00223913" w:rsidRDefault="00BC05A0" w:rsidP="002E1F11">
      <w:pPr>
        <w:spacing w:after="0" w:line="240" w:lineRule="auto"/>
        <w:rPr>
          <w:rFonts w:cstheme="minorHAnsi"/>
          <w:b/>
          <w:noProof/>
          <w:sz w:val="18"/>
          <w:szCs w:val="18"/>
        </w:rPr>
      </w:pPr>
    </w:p>
    <w:sectPr w:rsidR="00BC05A0" w:rsidRPr="00223913" w:rsidSect="00504549">
      <w:headerReference w:type="default" r:id="rId14"/>
      <w:headerReference w:type="first" r:id="rId15"/>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9D69" w14:textId="77777777" w:rsidR="00610142" w:rsidRDefault="00610142" w:rsidP="00091D49">
      <w:r>
        <w:separator/>
      </w:r>
    </w:p>
  </w:endnote>
  <w:endnote w:type="continuationSeparator" w:id="0">
    <w:p w14:paraId="5D6B29C6" w14:textId="77777777" w:rsidR="00610142" w:rsidRDefault="00610142"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E80A" w14:textId="77777777" w:rsidR="00610142" w:rsidRDefault="00610142" w:rsidP="00091D49">
      <w:r>
        <w:separator/>
      </w:r>
    </w:p>
  </w:footnote>
  <w:footnote w:type="continuationSeparator" w:id="0">
    <w:p w14:paraId="0AABBA27" w14:textId="77777777" w:rsidR="00610142" w:rsidRDefault="00610142"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BA24" w14:textId="77777777" w:rsidR="00091D49" w:rsidRPr="00091D49" w:rsidRDefault="003B06DA"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5875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7"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C410A"/>
    <w:multiLevelType w:val="hybridMultilevel"/>
    <w:tmpl w:val="AD28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50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NK4FAG50VnktAAAA"/>
  </w:docVars>
  <w:rsids>
    <w:rsidRoot w:val="0054732D"/>
    <w:rsid w:val="0002021A"/>
    <w:rsid w:val="00021EC2"/>
    <w:rsid w:val="000317B3"/>
    <w:rsid w:val="000403C6"/>
    <w:rsid w:val="00044C17"/>
    <w:rsid w:val="000470B0"/>
    <w:rsid w:val="00055E38"/>
    <w:rsid w:val="00071E4A"/>
    <w:rsid w:val="000768FD"/>
    <w:rsid w:val="00080B21"/>
    <w:rsid w:val="00081D13"/>
    <w:rsid w:val="00083731"/>
    <w:rsid w:val="00091D49"/>
    <w:rsid w:val="000A00B4"/>
    <w:rsid w:val="000B3C1B"/>
    <w:rsid w:val="000B44D4"/>
    <w:rsid w:val="000B7A4B"/>
    <w:rsid w:val="000C4775"/>
    <w:rsid w:val="000D7341"/>
    <w:rsid w:val="000E7EA4"/>
    <w:rsid w:val="0010003C"/>
    <w:rsid w:val="00105019"/>
    <w:rsid w:val="0012168E"/>
    <w:rsid w:val="00152544"/>
    <w:rsid w:val="00184B78"/>
    <w:rsid w:val="001A0294"/>
    <w:rsid w:val="001A6C13"/>
    <w:rsid w:val="001A78ED"/>
    <w:rsid w:val="001B55E6"/>
    <w:rsid w:val="001C53CC"/>
    <w:rsid w:val="001C7C45"/>
    <w:rsid w:val="001D6585"/>
    <w:rsid w:val="001F2E81"/>
    <w:rsid w:val="001F66E7"/>
    <w:rsid w:val="00207426"/>
    <w:rsid w:val="00211D73"/>
    <w:rsid w:val="00223482"/>
    <w:rsid w:val="00223913"/>
    <w:rsid w:val="00233EB6"/>
    <w:rsid w:val="00234401"/>
    <w:rsid w:val="00234514"/>
    <w:rsid w:val="00237BBD"/>
    <w:rsid w:val="00244A6D"/>
    <w:rsid w:val="00246DE0"/>
    <w:rsid w:val="00266416"/>
    <w:rsid w:val="002672A8"/>
    <w:rsid w:val="00271261"/>
    <w:rsid w:val="00273AC4"/>
    <w:rsid w:val="0028135A"/>
    <w:rsid w:val="00294F11"/>
    <w:rsid w:val="002B1B88"/>
    <w:rsid w:val="002B42AD"/>
    <w:rsid w:val="002B4BD4"/>
    <w:rsid w:val="002C4DA4"/>
    <w:rsid w:val="002C7F43"/>
    <w:rsid w:val="002D08F7"/>
    <w:rsid w:val="002D4D79"/>
    <w:rsid w:val="002D4EED"/>
    <w:rsid w:val="002E1F11"/>
    <w:rsid w:val="002E7EC2"/>
    <w:rsid w:val="002F4B58"/>
    <w:rsid w:val="0030037B"/>
    <w:rsid w:val="0030199A"/>
    <w:rsid w:val="00304D66"/>
    <w:rsid w:val="003328A5"/>
    <w:rsid w:val="0033456A"/>
    <w:rsid w:val="0035063B"/>
    <w:rsid w:val="00362159"/>
    <w:rsid w:val="00383B04"/>
    <w:rsid w:val="00383E79"/>
    <w:rsid w:val="00396F3A"/>
    <w:rsid w:val="003A4444"/>
    <w:rsid w:val="003A4AB7"/>
    <w:rsid w:val="003B06DA"/>
    <w:rsid w:val="003B0CD8"/>
    <w:rsid w:val="003C1DE0"/>
    <w:rsid w:val="003D4AD9"/>
    <w:rsid w:val="004120B6"/>
    <w:rsid w:val="00415759"/>
    <w:rsid w:val="004312D1"/>
    <w:rsid w:val="00433020"/>
    <w:rsid w:val="00435844"/>
    <w:rsid w:val="00446978"/>
    <w:rsid w:val="00447FEF"/>
    <w:rsid w:val="004547AF"/>
    <w:rsid w:val="00456913"/>
    <w:rsid w:val="004677B0"/>
    <w:rsid w:val="00475684"/>
    <w:rsid w:val="00477AF9"/>
    <w:rsid w:val="00483301"/>
    <w:rsid w:val="00484012"/>
    <w:rsid w:val="004941F0"/>
    <w:rsid w:val="00495386"/>
    <w:rsid w:val="00495B75"/>
    <w:rsid w:val="004A5D2E"/>
    <w:rsid w:val="004B4D85"/>
    <w:rsid w:val="004B6C57"/>
    <w:rsid w:val="004B6F9F"/>
    <w:rsid w:val="004D6F7C"/>
    <w:rsid w:val="004F3094"/>
    <w:rsid w:val="00504549"/>
    <w:rsid w:val="00514708"/>
    <w:rsid w:val="0054254F"/>
    <w:rsid w:val="0054732D"/>
    <w:rsid w:val="00566C51"/>
    <w:rsid w:val="00594D10"/>
    <w:rsid w:val="0059510A"/>
    <w:rsid w:val="00595485"/>
    <w:rsid w:val="00596295"/>
    <w:rsid w:val="005B0812"/>
    <w:rsid w:val="005B157F"/>
    <w:rsid w:val="005C06E2"/>
    <w:rsid w:val="005C4003"/>
    <w:rsid w:val="005C42FE"/>
    <w:rsid w:val="005C7E99"/>
    <w:rsid w:val="005D09CC"/>
    <w:rsid w:val="005D6DD1"/>
    <w:rsid w:val="005F0305"/>
    <w:rsid w:val="005F18BC"/>
    <w:rsid w:val="005F1EBC"/>
    <w:rsid w:val="00610142"/>
    <w:rsid w:val="00611A38"/>
    <w:rsid w:val="00637A19"/>
    <w:rsid w:val="00653777"/>
    <w:rsid w:val="006B2B32"/>
    <w:rsid w:val="006B7314"/>
    <w:rsid w:val="006C24F3"/>
    <w:rsid w:val="006D3EF6"/>
    <w:rsid w:val="006E186F"/>
    <w:rsid w:val="006E25FE"/>
    <w:rsid w:val="006F6E6C"/>
    <w:rsid w:val="006F79E9"/>
    <w:rsid w:val="007005C0"/>
    <w:rsid w:val="00710BE9"/>
    <w:rsid w:val="00717FED"/>
    <w:rsid w:val="00721CF8"/>
    <w:rsid w:val="007274C5"/>
    <w:rsid w:val="00741F15"/>
    <w:rsid w:val="00742E7A"/>
    <w:rsid w:val="007520ED"/>
    <w:rsid w:val="00765A56"/>
    <w:rsid w:val="00765AC0"/>
    <w:rsid w:val="00766917"/>
    <w:rsid w:val="00782186"/>
    <w:rsid w:val="007826A4"/>
    <w:rsid w:val="00791340"/>
    <w:rsid w:val="00797664"/>
    <w:rsid w:val="007A3EE7"/>
    <w:rsid w:val="007B6389"/>
    <w:rsid w:val="007B73A3"/>
    <w:rsid w:val="007C4E9D"/>
    <w:rsid w:val="007E4854"/>
    <w:rsid w:val="007F6685"/>
    <w:rsid w:val="0080406E"/>
    <w:rsid w:val="008351A0"/>
    <w:rsid w:val="0083577A"/>
    <w:rsid w:val="0084244A"/>
    <w:rsid w:val="008527BB"/>
    <w:rsid w:val="00874282"/>
    <w:rsid w:val="0088493E"/>
    <w:rsid w:val="00890170"/>
    <w:rsid w:val="008D54FA"/>
    <w:rsid w:val="008E16DE"/>
    <w:rsid w:val="008E48FB"/>
    <w:rsid w:val="008E506F"/>
    <w:rsid w:val="008E78E2"/>
    <w:rsid w:val="008F4490"/>
    <w:rsid w:val="009129C7"/>
    <w:rsid w:val="00920FD9"/>
    <w:rsid w:val="00922454"/>
    <w:rsid w:val="00926D12"/>
    <w:rsid w:val="00945FA4"/>
    <w:rsid w:val="00950709"/>
    <w:rsid w:val="00952D68"/>
    <w:rsid w:val="0095401A"/>
    <w:rsid w:val="009563FA"/>
    <w:rsid w:val="00961E77"/>
    <w:rsid w:val="00974471"/>
    <w:rsid w:val="009765B4"/>
    <w:rsid w:val="00982B1A"/>
    <w:rsid w:val="009958AC"/>
    <w:rsid w:val="009A553C"/>
    <w:rsid w:val="009B6604"/>
    <w:rsid w:val="009C6E4C"/>
    <w:rsid w:val="009D0902"/>
    <w:rsid w:val="009D1A6D"/>
    <w:rsid w:val="00A04604"/>
    <w:rsid w:val="00A139BB"/>
    <w:rsid w:val="00A158E2"/>
    <w:rsid w:val="00A15EF2"/>
    <w:rsid w:val="00A25486"/>
    <w:rsid w:val="00A257EE"/>
    <w:rsid w:val="00A25EBB"/>
    <w:rsid w:val="00A400B8"/>
    <w:rsid w:val="00A42138"/>
    <w:rsid w:val="00A422C0"/>
    <w:rsid w:val="00A6243C"/>
    <w:rsid w:val="00A70055"/>
    <w:rsid w:val="00A9400E"/>
    <w:rsid w:val="00AA0170"/>
    <w:rsid w:val="00AE155F"/>
    <w:rsid w:val="00AE75A9"/>
    <w:rsid w:val="00B07A8D"/>
    <w:rsid w:val="00B1141B"/>
    <w:rsid w:val="00B138DE"/>
    <w:rsid w:val="00B3289F"/>
    <w:rsid w:val="00B33E30"/>
    <w:rsid w:val="00B36792"/>
    <w:rsid w:val="00B3724F"/>
    <w:rsid w:val="00B44314"/>
    <w:rsid w:val="00B50DF4"/>
    <w:rsid w:val="00B53E3B"/>
    <w:rsid w:val="00BC05A0"/>
    <w:rsid w:val="00BC32DD"/>
    <w:rsid w:val="00BD21E3"/>
    <w:rsid w:val="00BE7C25"/>
    <w:rsid w:val="00BF19B4"/>
    <w:rsid w:val="00C03FFF"/>
    <w:rsid w:val="00C052D4"/>
    <w:rsid w:val="00C14AAB"/>
    <w:rsid w:val="00C50C78"/>
    <w:rsid w:val="00C610A4"/>
    <w:rsid w:val="00C64FA5"/>
    <w:rsid w:val="00C804AA"/>
    <w:rsid w:val="00C83A02"/>
    <w:rsid w:val="00CA0D5F"/>
    <w:rsid w:val="00CA19EE"/>
    <w:rsid w:val="00CA6C72"/>
    <w:rsid w:val="00CB5202"/>
    <w:rsid w:val="00CB674A"/>
    <w:rsid w:val="00CD33FB"/>
    <w:rsid w:val="00CD3562"/>
    <w:rsid w:val="00CD62EE"/>
    <w:rsid w:val="00CE3A9C"/>
    <w:rsid w:val="00D17228"/>
    <w:rsid w:val="00D27B86"/>
    <w:rsid w:val="00D5212E"/>
    <w:rsid w:val="00D6496E"/>
    <w:rsid w:val="00D7105E"/>
    <w:rsid w:val="00D765CD"/>
    <w:rsid w:val="00D822F6"/>
    <w:rsid w:val="00D8600F"/>
    <w:rsid w:val="00D9054D"/>
    <w:rsid w:val="00DA1DC5"/>
    <w:rsid w:val="00DA1F12"/>
    <w:rsid w:val="00DA2C0F"/>
    <w:rsid w:val="00DB4489"/>
    <w:rsid w:val="00DC51A9"/>
    <w:rsid w:val="00DD0D0C"/>
    <w:rsid w:val="00DE552A"/>
    <w:rsid w:val="00DF20F4"/>
    <w:rsid w:val="00E02E38"/>
    <w:rsid w:val="00E22B7D"/>
    <w:rsid w:val="00E4470A"/>
    <w:rsid w:val="00E5195E"/>
    <w:rsid w:val="00E60AA0"/>
    <w:rsid w:val="00E7082C"/>
    <w:rsid w:val="00E73C6E"/>
    <w:rsid w:val="00E75D98"/>
    <w:rsid w:val="00E8491B"/>
    <w:rsid w:val="00E85136"/>
    <w:rsid w:val="00E866B2"/>
    <w:rsid w:val="00E93C02"/>
    <w:rsid w:val="00E94A36"/>
    <w:rsid w:val="00E97B31"/>
    <w:rsid w:val="00EF2396"/>
    <w:rsid w:val="00F178E2"/>
    <w:rsid w:val="00F231ED"/>
    <w:rsid w:val="00F23B98"/>
    <w:rsid w:val="00F330B5"/>
    <w:rsid w:val="00F3648B"/>
    <w:rsid w:val="00F457F9"/>
    <w:rsid w:val="00F55F40"/>
    <w:rsid w:val="00F71FC7"/>
    <w:rsid w:val="00F74601"/>
    <w:rsid w:val="00F86632"/>
    <w:rsid w:val="00FA6D4B"/>
    <w:rsid w:val="00FB3FDC"/>
    <w:rsid w:val="00FC13A8"/>
    <w:rsid w:val="00FD3E56"/>
    <w:rsid w:val="00FE4403"/>
    <w:rsid w:val="00FF5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paragraph" w:styleId="Nadpis2">
    <w:name w:val="heading 2"/>
    <w:basedOn w:val="Normln"/>
    <w:next w:val="Normln"/>
    <w:link w:val="Nadpis2Char"/>
    <w:uiPriority w:val="9"/>
    <w:unhideWhenUsed/>
    <w:qFormat/>
    <w:rsid w:val="00C03FF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semiHidden/>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semiHidden/>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 w:type="paragraph" w:styleId="Revize">
    <w:name w:val="Revision"/>
    <w:hidden/>
    <w:uiPriority w:val="99"/>
    <w:semiHidden/>
    <w:rsid w:val="00C50C78"/>
    <w:pPr>
      <w:spacing w:after="0" w:line="240" w:lineRule="auto"/>
    </w:pPr>
    <w:rPr>
      <w:rFonts w:eastAsiaTheme="minorHAnsi"/>
    </w:rPr>
  </w:style>
  <w:style w:type="paragraph" w:styleId="Odstavecseseznamem">
    <w:name w:val="List Paragraph"/>
    <w:basedOn w:val="Normln"/>
    <w:uiPriority w:val="34"/>
    <w:rsid w:val="00566C51"/>
    <w:pPr>
      <w:ind w:left="720"/>
      <w:contextualSpacing/>
    </w:pPr>
  </w:style>
  <w:style w:type="character" w:customStyle="1" w:styleId="Nadpis2Char">
    <w:name w:val="Nadpis 2 Char"/>
    <w:basedOn w:val="Standardnpsmoodstavce"/>
    <w:link w:val="Nadpis2"/>
    <w:uiPriority w:val="9"/>
    <w:rsid w:val="00C03FFF"/>
    <w:rPr>
      <w:rFonts w:asciiTheme="majorHAnsi" w:eastAsiaTheme="majorEastAsia" w:hAnsiTheme="majorHAnsi" w:cstheme="majorBidi"/>
      <w:color w:val="2F5496" w:themeColor="accent1" w:themeShade="BF"/>
      <w:sz w:val="26"/>
      <w:szCs w:val="26"/>
      <w:lang w:val="en-GB"/>
    </w:rPr>
  </w:style>
  <w:style w:type="character" w:styleId="Nevyeenzmnka">
    <w:name w:val="Unresolved Mention"/>
    <w:basedOn w:val="Standardnpsmoodstavce"/>
    <w:uiPriority w:val="99"/>
    <w:semiHidden/>
    <w:unhideWhenUsed/>
    <w:rsid w:val="00C03FFF"/>
    <w:rPr>
      <w:color w:val="605E5C"/>
      <w:shd w:val="clear" w:color="auto" w:fill="E1DFDD"/>
    </w:rPr>
  </w:style>
  <w:style w:type="paragraph" w:styleId="Normlnweb">
    <w:name w:val="Normal (Web)"/>
    <w:basedOn w:val="Normln"/>
    <w:uiPriority w:val="99"/>
    <w:semiHidden/>
    <w:unhideWhenUsed/>
    <w:rsid w:val="00273AC4"/>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776483">
      <w:bodyDiv w:val="1"/>
      <w:marLeft w:val="0"/>
      <w:marRight w:val="0"/>
      <w:marTop w:val="0"/>
      <w:marBottom w:val="0"/>
      <w:divBdr>
        <w:top w:val="none" w:sz="0" w:space="0" w:color="auto"/>
        <w:left w:val="none" w:sz="0" w:space="0" w:color="auto"/>
        <w:bottom w:val="none" w:sz="0" w:space="0" w:color="auto"/>
        <w:right w:val="none" w:sz="0" w:space="0" w:color="auto"/>
      </w:divBdr>
    </w:div>
    <w:div w:id="394667801">
      <w:bodyDiv w:val="1"/>
      <w:marLeft w:val="0"/>
      <w:marRight w:val="0"/>
      <w:marTop w:val="0"/>
      <w:marBottom w:val="0"/>
      <w:divBdr>
        <w:top w:val="none" w:sz="0" w:space="0" w:color="auto"/>
        <w:left w:val="none" w:sz="0" w:space="0" w:color="auto"/>
        <w:bottom w:val="none" w:sz="0" w:space="0" w:color="auto"/>
        <w:right w:val="none" w:sz="0" w:space="0" w:color="auto"/>
      </w:divBdr>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512648348">
      <w:bodyDiv w:val="1"/>
      <w:marLeft w:val="0"/>
      <w:marRight w:val="0"/>
      <w:marTop w:val="0"/>
      <w:marBottom w:val="0"/>
      <w:divBdr>
        <w:top w:val="none" w:sz="0" w:space="0" w:color="auto"/>
        <w:left w:val="none" w:sz="0" w:space="0" w:color="auto"/>
        <w:bottom w:val="none" w:sz="0" w:space="0" w:color="auto"/>
        <w:right w:val="none" w:sz="0" w:space="0" w:color="auto"/>
      </w:divBdr>
    </w:div>
    <w:div w:id="1573931019">
      <w:bodyDiv w:val="1"/>
      <w:marLeft w:val="0"/>
      <w:marRight w:val="0"/>
      <w:marTop w:val="0"/>
      <w:marBottom w:val="0"/>
      <w:divBdr>
        <w:top w:val="none" w:sz="0" w:space="0" w:color="auto"/>
        <w:left w:val="none" w:sz="0" w:space="0" w:color="auto"/>
        <w:bottom w:val="none" w:sz="0" w:space="0" w:color="auto"/>
        <w:right w:val="none" w:sz="0" w:space="0" w:color="auto"/>
      </w:divBdr>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 w:id="21012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11/gcb.700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tiburek@fld.c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2.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C54E1-8E3A-4816-A059-F80E3A4FF860}">
  <ds:schemaRefs>
    <ds:schemaRef ds:uri="http://schemas.microsoft.com/sharepoint/v3/contenttype/forms"/>
  </ds:schemaRefs>
</ds:datastoreItem>
</file>

<file path=customXml/itemProps4.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CZU_FLD_Tiskova zprava</Template>
  <TotalTime>27</TotalTime>
  <Pages>2</Pages>
  <Words>597</Words>
  <Characters>3524</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Prokopová Lenka</cp:lastModifiedBy>
  <cp:revision>34</cp:revision>
  <cp:lastPrinted>2021-11-22T09:28:00Z</cp:lastPrinted>
  <dcterms:created xsi:type="dcterms:W3CDTF">2023-12-04T08:11:00Z</dcterms:created>
  <dcterms:modified xsi:type="dcterms:W3CDTF">2025-02-12T10:33:00Z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