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7802376B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Průběžná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77777777" w:rsidR="008A23AC" w:rsidRDefault="008A23AC" w:rsidP="008A23AC"/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77777777" w:rsidR="008A23AC" w:rsidRDefault="008A23AC" w:rsidP="008A23AC"/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77777777" w:rsidR="008A23AC" w:rsidRDefault="008A23AC" w:rsidP="008A23AC"/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shd w:val="clear" w:color="auto" w:fill="auto"/>
            <w:vAlign w:val="center"/>
          </w:tcPr>
          <w:p w14:paraId="5FA2EC9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návratového grantu</w:t>
            </w:r>
          </w:p>
          <w:p w14:paraId="061CFCBC" w14:textId="31EC8362" w:rsidR="000A418D" w:rsidRPr="000B563A" w:rsidRDefault="000A418D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shd w:val="clear" w:color="auto" w:fill="auto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shd w:val="clear" w:color="auto" w:fill="auto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shd w:val="clear" w:color="auto" w:fill="auto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shd w:val="clear" w:color="auto" w:fill="auto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shd w:val="clear" w:color="auto" w:fill="auto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3F5DC4B3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proofErr w:type="spellStart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proofErr w:type="spellEnd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B27877" w:rsidRDefault="0051635D" w:rsidP="00CC7C06">
      <w:pPr>
        <w:rPr>
          <w:u w:val="single"/>
        </w:rPr>
      </w:pPr>
      <w:r w:rsidRPr="00B27877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54775253" w:rsidR="0051635D" w:rsidRDefault="0051635D" w:rsidP="00CC7C06">
      <w:r>
        <w:t>Zpráva o průběhu mobility</w:t>
      </w:r>
      <w:r w:rsidR="00B63778">
        <w:rPr>
          <w:rStyle w:val="Znakapoznpodarou"/>
        </w:rPr>
        <w:footnoteReference w:id="4"/>
      </w:r>
      <w:r>
        <w:t xml:space="preserve"> (bude-li relevantní)</w:t>
      </w:r>
    </w:p>
    <w:p w14:paraId="33A5E560" w14:textId="3F266931" w:rsidR="0051635D" w:rsidRDefault="0051635D" w:rsidP="00CC7C06">
      <w:r>
        <w:t>Vyúčtování prostřednictvím Kalkulačky</w:t>
      </w:r>
      <w:r w:rsidR="008A56D8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CE52" w14:textId="77777777" w:rsidR="003E233E" w:rsidRDefault="003E233E" w:rsidP="00CE3205">
      <w:r>
        <w:separator/>
      </w:r>
    </w:p>
  </w:endnote>
  <w:endnote w:type="continuationSeparator" w:id="0">
    <w:p w14:paraId="2C2ADD64" w14:textId="77777777" w:rsidR="003E233E" w:rsidRDefault="003E233E" w:rsidP="00CE3205">
      <w:r>
        <w:continuationSeparator/>
      </w:r>
    </w:p>
  </w:endnote>
  <w:endnote w:type="continuationNotice" w:id="1">
    <w:p w14:paraId="7D4F1E0C" w14:textId="77777777" w:rsidR="00735BE5" w:rsidRDefault="00735B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EndPr/>
    <w:sdtContent>
      <w:p w14:paraId="16CD837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5F4FEB4A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2BE45BF1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6539489D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EndPr/>
    <w:sdtContent>
      <w:p w14:paraId="74956CC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4215D417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04FE41B9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237B3C94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E61C" w14:textId="77777777" w:rsidR="003E233E" w:rsidRDefault="003E233E" w:rsidP="00CE3205">
      <w:r>
        <w:separator/>
      </w:r>
    </w:p>
  </w:footnote>
  <w:footnote w:type="continuationSeparator" w:id="0">
    <w:p w14:paraId="6FC638B7" w14:textId="77777777" w:rsidR="003E233E" w:rsidRDefault="003E233E" w:rsidP="00CE3205">
      <w:r>
        <w:continuationSeparator/>
      </w:r>
    </w:p>
  </w:footnote>
  <w:footnote w:type="continuationNotice" w:id="1">
    <w:p w14:paraId="672EB5D5" w14:textId="77777777" w:rsidR="00735BE5" w:rsidRDefault="00735BE5">
      <w:pPr>
        <w:spacing w:before="0" w:after="0"/>
      </w:pPr>
    </w:p>
  </w:footnote>
  <w:footnote w:id="2">
    <w:p w14:paraId="0B4FE4B1" w14:textId="020E5007" w:rsidR="0051635D" w:rsidRDefault="005163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</w:t>
      </w:r>
      <w:r w:rsidR="008A56D8" w:rsidRPr="008A56D8">
        <w:rPr>
          <w:sz w:val="16"/>
          <w:szCs w:val="16"/>
        </w:rPr>
        <w:t> </w:t>
      </w:r>
      <w:r w:rsidRPr="008A56D8">
        <w:rPr>
          <w:sz w:val="16"/>
          <w:szCs w:val="16"/>
        </w:rPr>
        <w:t>Kalkulačce</w:t>
      </w:r>
      <w:r w:rsidR="008A56D8" w:rsidRPr="008A56D8">
        <w:rPr>
          <w:sz w:val="16"/>
          <w:szCs w:val="16"/>
        </w:rPr>
        <w:t xml:space="preserve"> Aktivita 3</w:t>
      </w:r>
      <w:r w:rsidRPr="008A56D8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009E1F16" w14:textId="764F343B" w:rsidR="00B63778" w:rsidRPr="00125D8D" w:rsidRDefault="00B6377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 w:rsidR="00125D8D"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2C3"/>
    <w:rsid w:val="00054A83"/>
    <w:rsid w:val="00097201"/>
    <w:rsid w:val="000A418D"/>
    <w:rsid w:val="000E1578"/>
    <w:rsid w:val="0010035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4209E1"/>
    <w:rsid w:val="00445247"/>
    <w:rsid w:val="00445D8B"/>
    <w:rsid w:val="004538FE"/>
    <w:rsid w:val="00477DD2"/>
    <w:rsid w:val="004C4791"/>
    <w:rsid w:val="0051635D"/>
    <w:rsid w:val="00521617"/>
    <w:rsid w:val="00540C22"/>
    <w:rsid w:val="005438E6"/>
    <w:rsid w:val="0055324E"/>
    <w:rsid w:val="005A6C42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D5C37"/>
    <w:rsid w:val="007F10ED"/>
    <w:rsid w:val="007F4F78"/>
    <w:rsid w:val="00831EAC"/>
    <w:rsid w:val="00866748"/>
    <w:rsid w:val="008A23AC"/>
    <w:rsid w:val="008A56D8"/>
    <w:rsid w:val="008B721A"/>
    <w:rsid w:val="008F5355"/>
    <w:rsid w:val="00911F7E"/>
    <w:rsid w:val="00912332"/>
    <w:rsid w:val="0095073C"/>
    <w:rsid w:val="00951B61"/>
    <w:rsid w:val="009740D5"/>
    <w:rsid w:val="00A01894"/>
    <w:rsid w:val="00A05CF7"/>
    <w:rsid w:val="00A221B1"/>
    <w:rsid w:val="00A45DA2"/>
    <w:rsid w:val="00AD626A"/>
    <w:rsid w:val="00AE0ADF"/>
    <w:rsid w:val="00AF5891"/>
    <w:rsid w:val="00B12607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11" ma:contentTypeDescription="Vytvoří nový dokument" ma:contentTypeScope="" ma:versionID="a28cb2cf8fe312c441bd0e2b1d588050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089b2aafb6ecec48ed42c8078ceafa29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vp_x0159__x00ed_loh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vp_x0159__x00ed_lohy" ma:index="18" nillable="true" ma:displayName="stav přílohy" ma:default="1" ma:description="Zda je příloha v pořádku " ma:format="Dropdown" ma:internalName="stavp_x0159__x00ed_loh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_x0159__x00ed_lohy xmlns="1456696d-ef08-48f8-a4a3-492369fdb284">true</stavp_x0159__x00ed_lohy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39D84-C33B-4D31-AE50-0C9723CAB9D4}"/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e727d7e0-5f6f-4843-8d26-7fdd0d273a91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Holečková Lucie</cp:lastModifiedBy>
  <cp:revision>6</cp:revision>
  <cp:lastPrinted>2022-03-15T15:20:00Z</cp:lastPrinted>
  <dcterms:created xsi:type="dcterms:W3CDTF">2025-08-29T09:19:00Z</dcterms:created>
  <dcterms:modified xsi:type="dcterms:W3CDTF">2025-09-02T08:33:00Z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_dlc_DocIdItemGuid">
    <vt:lpwstr>77a2e9cf-c811-408e-ac71-3bec1d05d4fa</vt:lpwstr>
  </property>
</Properties>
</file>