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75" w:rsidRPr="008159F9" w:rsidRDefault="00DA3C75" w:rsidP="00DA3C75">
      <w:pPr>
        <w:spacing w:after="240" w:line="288" w:lineRule="auto"/>
        <w:outlineLvl w:val="4"/>
        <w:rPr>
          <w:rFonts w:ascii="Arial" w:eastAsia="Times New Roman" w:hAnsi="Arial" w:cs="Arial"/>
          <w:b/>
          <w:bCs/>
          <w:color w:val="333333"/>
          <w:sz w:val="18"/>
          <w:szCs w:val="18"/>
          <w:lang w:val="en-US"/>
        </w:rPr>
      </w:pPr>
      <w:bookmarkStart w:id="0" w:name="CreditsandGrading"/>
      <w:bookmarkEnd w:id="0"/>
      <w:r w:rsidRPr="008159F9">
        <w:rPr>
          <w:rFonts w:ascii="Arial" w:eastAsia="Times New Roman" w:hAnsi="Arial" w:cs="Arial"/>
          <w:b/>
          <w:bCs/>
          <w:color w:val="333333"/>
          <w:sz w:val="18"/>
          <w:szCs w:val="18"/>
          <w:lang w:val="en-US"/>
        </w:rPr>
        <w:t>Credits and Grading</w:t>
      </w:r>
    </w:p>
    <w:p w:rsidR="00DA3C75" w:rsidRPr="00DA3C75" w:rsidRDefault="00DA3C75" w:rsidP="00DA3C75">
      <w:pPr>
        <w:spacing w:after="240" w:line="288" w:lineRule="auto"/>
        <w:outlineLvl w:val="3"/>
        <w:rPr>
          <w:rFonts w:ascii="Arial" w:eastAsia="Times New Roman" w:hAnsi="Arial" w:cs="Arial"/>
          <w:b/>
          <w:bCs/>
          <w:color w:val="333333"/>
          <w:sz w:val="18"/>
          <w:szCs w:val="18"/>
          <w:lang w:val="en-GB"/>
        </w:rPr>
      </w:pPr>
      <w:r w:rsidRPr="00DA3C75">
        <w:rPr>
          <w:rFonts w:ascii="Arial" w:eastAsia="Times New Roman" w:hAnsi="Arial" w:cs="Arial"/>
          <w:b/>
          <w:bCs/>
          <w:color w:val="333333"/>
          <w:sz w:val="18"/>
          <w:lang w:val="en-GB"/>
        </w:rPr>
        <w:t>The Finnish Credit System and ECTS</w:t>
      </w:r>
    </w:p>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color w:val="000000"/>
          <w:sz w:val="18"/>
          <w:szCs w:val="18"/>
          <w:lang w:val="en-GB"/>
        </w:rPr>
        <w:t xml:space="preserve">National credit allocation and accumulation system has been replaced by the European Credit Transfer and Accumulation System (ECTS). In this ECTS based system, the annual student workload amounts to 1600 hours. The concept of the student workload refers to the time required to achieve the set learning outcomes of a programme. A total of 60 credits (in Finnish </w:t>
      </w:r>
      <w:proofErr w:type="spellStart"/>
      <w:r w:rsidRPr="00DA3C75">
        <w:rPr>
          <w:rFonts w:ascii="Arial" w:eastAsia="Times New Roman" w:hAnsi="Arial" w:cs="Arial"/>
          <w:color w:val="000000"/>
          <w:sz w:val="18"/>
          <w:szCs w:val="18"/>
          <w:lang w:val="en-GB"/>
        </w:rPr>
        <w:t>opintopiste</w:t>
      </w:r>
      <w:proofErr w:type="spellEnd"/>
      <w:r w:rsidRPr="00DA3C75">
        <w:rPr>
          <w:rFonts w:ascii="Arial" w:eastAsia="Times New Roman" w:hAnsi="Arial" w:cs="Arial"/>
          <w:color w:val="000000"/>
          <w:sz w:val="18"/>
          <w:szCs w:val="18"/>
          <w:lang w:val="en-GB"/>
        </w:rPr>
        <w:t xml:space="preserve">) will measure the workload of a full-time student during one academic year; a total of 30 credits is the full-time workload for one semester. </w:t>
      </w:r>
    </w:p>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color w:val="000000"/>
          <w:sz w:val="18"/>
          <w:szCs w:val="18"/>
          <w:lang w:val="en-GB"/>
        </w:rPr>
        <w:t>Consequently, there will be no more credit conversion from the ECTS system to the national Finnish system or vice versa, as the credit system used is the ECTS system.</w:t>
      </w:r>
    </w:p>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b/>
          <w:bCs/>
          <w:color w:val="000000"/>
          <w:sz w:val="18"/>
          <w:lang w:val="en-GB"/>
        </w:rPr>
        <w:t>Grading</w:t>
      </w:r>
    </w:p>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color w:val="000000"/>
          <w:sz w:val="18"/>
          <w:szCs w:val="18"/>
          <w:lang w:val="en-GB"/>
        </w:rPr>
        <w:t xml:space="preserve">The Senate of the University of Helsinki decided that the University shall apply a six-level grading scale of 0-5 in the grading of basic degrees. </w:t>
      </w:r>
    </w:p>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color w:val="000000"/>
          <w:sz w:val="18"/>
          <w:szCs w:val="18"/>
          <w:lang w:val="en-GB"/>
        </w:rPr>
        <w:t>The grading scale is directly comparable to the ECTS grading scale, as shown below. However, there is one important difference: the ECTS system is based on an expectancy of the distribution of different grades, the Finnish system is not. That means that in the Finnish system there is no rule or expectation as to how big a proportion of the participants in any given course can be given what grade; each student is graded on his/her individual performance, not in relation to the performance of others.</w:t>
      </w:r>
    </w:p>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b/>
          <w:bCs/>
          <w:color w:val="000000"/>
          <w:sz w:val="18"/>
          <w:lang w:val="en-GB"/>
        </w:rPr>
        <w:t xml:space="preserve">Grading scales (Finnish and ECTS): </w:t>
      </w:r>
    </w:p>
    <w:tbl>
      <w:tblPr>
        <w:tblW w:w="3900" w:type="pct"/>
        <w:tblCellSpacing w:w="15" w:type="dxa"/>
        <w:tblCellMar>
          <w:top w:w="15" w:type="dxa"/>
          <w:left w:w="15" w:type="dxa"/>
          <w:bottom w:w="15" w:type="dxa"/>
          <w:right w:w="15" w:type="dxa"/>
        </w:tblCellMar>
        <w:tblLook w:val="04A0" w:firstRow="1" w:lastRow="0" w:firstColumn="1" w:lastColumn="0" w:noHBand="0" w:noVBand="1"/>
      </w:tblPr>
      <w:tblGrid>
        <w:gridCol w:w="3719"/>
        <w:gridCol w:w="3869"/>
      </w:tblGrid>
      <w:tr w:rsidR="00DA3C75" w:rsidRPr="008159F9" w:rsidTr="00DA3C75">
        <w:trPr>
          <w:tblCellSpacing w:w="15" w:type="dxa"/>
        </w:trPr>
        <w:tc>
          <w:tcPr>
            <w:tcW w:w="2450" w:type="pct"/>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b/>
                <w:bCs/>
                <w:color w:val="000000"/>
                <w:sz w:val="18"/>
              </w:rPr>
              <w:t xml:space="preserve">Finnish grading scale </w:t>
            </w:r>
          </w:p>
        </w:tc>
        <w:tc>
          <w:tcPr>
            <w:tcW w:w="2550" w:type="pct"/>
            <w:vAlign w:val="center"/>
            <w:hideMark/>
          </w:tcPr>
          <w:p w:rsidR="00DA3C75" w:rsidRPr="008159F9" w:rsidRDefault="00DA3C75" w:rsidP="008159F9">
            <w:pPr>
              <w:spacing w:after="0" w:line="288" w:lineRule="auto"/>
              <w:jc w:val="center"/>
              <w:rPr>
                <w:rFonts w:ascii="Arial" w:eastAsia="Times New Roman" w:hAnsi="Arial" w:cs="Arial"/>
                <w:color w:val="000000"/>
                <w:sz w:val="18"/>
                <w:szCs w:val="18"/>
                <w:lang w:val="en-US"/>
              </w:rPr>
            </w:pPr>
            <w:r w:rsidRPr="008159F9">
              <w:rPr>
                <w:rFonts w:ascii="Arial" w:eastAsia="Times New Roman" w:hAnsi="Arial" w:cs="Arial"/>
                <w:b/>
                <w:bCs/>
                <w:color w:val="000000"/>
                <w:sz w:val="18"/>
                <w:lang w:val="en-US"/>
              </w:rPr>
              <w:t>ECTS grading scale</w:t>
            </w:r>
          </w:p>
        </w:tc>
      </w:tr>
      <w:tr w:rsidR="00DA3C75" w:rsidRPr="00DA3C75" w:rsidTr="00DA3C75">
        <w:trPr>
          <w:tblCellSpacing w:w="15" w:type="dxa"/>
        </w:trPr>
        <w:tc>
          <w:tcPr>
            <w:tcW w:w="0" w:type="auto"/>
            <w:vAlign w:val="center"/>
            <w:hideMark/>
          </w:tcPr>
          <w:p w:rsidR="00DA3C75" w:rsidRPr="00DA3C75" w:rsidRDefault="00DA3C75" w:rsidP="008159F9">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5 = excellent </w:t>
            </w:r>
            <w:r w:rsidR="008159F9">
              <w:rPr>
                <w:rFonts w:ascii="Arial" w:eastAsia="Times New Roman" w:hAnsi="Arial" w:cs="Arial"/>
                <w:color w:val="000000"/>
                <w:sz w:val="18"/>
                <w:szCs w:val="18"/>
              </w:rPr>
              <w:t xml:space="preserve">  (100-90 %)</w:t>
            </w:r>
          </w:p>
        </w:tc>
        <w:tc>
          <w:tcPr>
            <w:tcW w:w="0" w:type="auto"/>
            <w:vAlign w:val="center"/>
            <w:hideMark/>
          </w:tcPr>
          <w:p w:rsidR="00DA3C75" w:rsidRPr="00DA3C75" w:rsidRDefault="00DA3C75" w:rsidP="008159F9">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A</w:t>
            </w:r>
          </w:p>
        </w:tc>
      </w:tr>
      <w:tr w:rsidR="00DA3C75" w:rsidRPr="00DA3C75" w:rsidTr="00DA3C75">
        <w:trPr>
          <w:tblCellSpacing w:w="15" w:type="dxa"/>
        </w:trPr>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4 = very good </w:t>
            </w:r>
            <w:r w:rsidR="008159F9">
              <w:rPr>
                <w:rFonts w:ascii="Arial" w:eastAsia="Times New Roman" w:hAnsi="Arial" w:cs="Arial"/>
                <w:color w:val="000000"/>
                <w:sz w:val="18"/>
                <w:szCs w:val="18"/>
              </w:rPr>
              <w:t xml:space="preserve">  (80 %)</w:t>
            </w:r>
          </w:p>
        </w:tc>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B</w:t>
            </w:r>
          </w:p>
        </w:tc>
      </w:tr>
      <w:tr w:rsidR="00DA3C75" w:rsidRPr="00DA3C75" w:rsidTr="00DA3C75">
        <w:trPr>
          <w:tblCellSpacing w:w="15" w:type="dxa"/>
        </w:trPr>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3 = good </w:t>
            </w:r>
            <w:r w:rsidR="008159F9">
              <w:rPr>
                <w:rFonts w:ascii="Arial" w:eastAsia="Times New Roman" w:hAnsi="Arial" w:cs="Arial"/>
                <w:color w:val="000000"/>
                <w:sz w:val="18"/>
                <w:szCs w:val="18"/>
              </w:rPr>
              <w:t xml:space="preserve"> (70 %</w:t>
            </w:r>
          </w:p>
        </w:tc>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C</w:t>
            </w:r>
          </w:p>
        </w:tc>
      </w:tr>
      <w:tr w:rsidR="00DA3C75" w:rsidRPr="00DA3C75" w:rsidTr="00DA3C75">
        <w:trPr>
          <w:tblCellSpacing w:w="15" w:type="dxa"/>
        </w:trPr>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2 = satisfactory </w:t>
            </w:r>
            <w:r w:rsidR="008159F9">
              <w:rPr>
                <w:rFonts w:ascii="Arial" w:eastAsia="Times New Roman" w:hAnsi="Arial" w:cs="Arial"/>
                <w:color w:val="000000"/>
                <w:sz w:val="18"/>
                <w:szCs w:val="18"/>
              </w:rPr>
              <w:t>(60 %)</w:t>
            </w:r>
          </w:p>
        </w:tc>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D</w:t>
            </w:r>
          </w:p>
        </w:tc>
        <w:bookmarkStart w:id="1" w:name="_GoBack"/>
        <w:bookmarkEnd w:id="1"/>
      </w:tr>
      <w:tr w:rsidR="00DA3C75" w:rsidRPr="00DA3C75" w:rsidTr="00DA3C75">
        <w:trPr>
          <w:tblCellSpacing w:w="15" w:type="dxa"/>
        </w:trPr>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1 = passable </w:t>
            </w:r>
            <w:r w:rsidR="008159F9">
              <w:rPr>
                <w:rFonts w:ascii="Arial" w:eastAsia="Times New Roman" w:hAnsi="Arial" w:cs="Arial"/>
                <w:color w:val="000000"/>
                <w:sz w:val="18"/>
                <w:szCs w:val="18"/>
              </w:rPr>
              <w:t xml:space="preserve"> (50 %)</w:t>
            </w:r>
          </w:p>
        </w:tc>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E</w:t>
            </w:r>
          </w:p>
        </w:tc>
      </w:tr>
      <w:tr w:rsidR="00DA3C75" w:rsidRPr="00DA3C75" w:rsidTr="00DA3C75">
        <w:trPr>
          <w:tblCellSpacing w:w="15" w:type="dxa"/>
        </w:trPr>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0 = fail </w:t>
            </w:r>
            <w:r w:rsidR="008159F9">
              <w:rPr>
                <w:rFonts w:ascii="Arial" w:eastAsia="Times New Roman" w:hAnsi="Arial" w:cs="Arial"/>
                <w:color w:val="000000"/>
                <w:sz w:val="18"/>
                <w:szCs w:val="18"/>
              </w:rPr>
              <w:t xml:space="preserve"> (&lt;50 %)</w:t>
            </w:r>
          </w:p>
        </w:tc>
        <w:tc>
          <w:tcPr>
            <w:tcW w:w="0" w:type="auto"/>
            <w:vAlign w:val="center"/>
            <w:hideMark/>
          </w:tcPr>
          <w:p w:rsidR="00DA3C75" w:rsidRPr="00DA3C75" w:rsidRDefault="00DA3C75" w:rsidP="00DA3C75">
            <w:pPr>
              <w:spacing w:after="0" w:line="288" w:lineRule="auto"/>
              <w:jc w:val="center"/>
              <w:rPr>
                <w:rFonts w:ascii="Arial" w:eastAsia="Times New Roman" w:hAnsi="Arial" w:cs="Arial"/>
                <w:color w:val="000000"/>
                <w:sz w:val="18"/>
                <w:szCs w:val="18"/>
              </w:rPr>
            </w:pPr>
            <w:r w:rsidRPr="00DA3C75">
              <w:rPr>
                <w:rFonts w:ascii="Arial" w:eastAsia="Times New Roman" w:hAnsi="Arial" w:cs="Arial"/>
                <w:color w:val="000000"/>
                <w:sz w:val="18"/>
                <w:szCs w:val="18"/>
              </w:rPr>
              <w:t xml:space="preserve">F or FX </w:t>
            </w:r>
          </w:p>
        </w:tc>
      </w:tr>
    </w:tbl>
    <w:p w:rsidR="00DA3C75" w:rsidRPr="00DA3C75" w:rsidRDefault="00DA3C75" w:rsidP="00DA3C75">
      <w:pPr>
        <w:spacing w:after="240" w:line="288" w:lineRule="auto"/>
        <w:rPr>
          <w:rFonts w:ascii="Arial" w:eastAsia="Times New Roman" w:hAnsi="Arial" w:cs="Arial"/>
          <w:color w:val="000000"/>
          <w:sz w:val="18"/>
          <w:szCs w:val="18"/>
          <w:lang w:val="en-GB"/>
        </w:rPr>
      </w:pPr>
      <w:r w:rsidRPr="00DA3C75">
        <w:rPr>
          <w:rFonts w:ascii="Arial" w:eastAsia="Times New Roman" w:hAnsi="Arial" w:cs="Arial"/>
          <w:color w:val="000000"/>
          <w:sz w:val="18"/>
          <w:szCs w:val="18"/>
          <w:lang w:val="en-GB"/>
        </w:rPr>
        <w:t xml:space="preserve">In addition to applying this general grading system, pass/fail grading may be applied in cases of practical training and practical skills courses, as decided by the faculty council. </w:t>
      </w:r>
    </w:p>
    <w:p w:rsidR="00DA3C75" w:rsidRDefault="008159F9">
      <w:pPr>
        <w:rPr>
          <w:lang w:val="en-GB"/>
        </w:rPr>
      </w:pPr>
      <w:proofErr w:type="spellStart"/>
      <w:r>
        <w:rPr>
          <w:lang w:val="en-GB"/>
        </w:rPr>
        <w:t>Harri</w:t>
      </w:r>
      <w:proofErr w:type="spellEnd"/>
      <w:r>
        <w:rPr>
          <w:lang w:val="en-GB"/>
        </w:rPr>
        <w:t xml:space="preserve"> Nyberg, Ph.D., Docent, Senior lecturer</w:t>
      </w:r>
    </w:p>
    <w:p w:rsidR="008159F9" w:rsidRDefault="008159F9">
      <w:pPr>
        <w:rPr>
          <w:lang w:val="en-GB"/>
        </w:rPr>
      </w:pPr>
      <w:r>
        <w:rPr>
          <w:lang w:val="en-GB"/>
        </w:rPr>
        <w:t>Faculty LLP Erasmus coordinator</w:t>
      </w:r>
    </w:p>
    <w:p w:rsidR="008159F9" w:rsidRDefault="008159F9">
      <w:pPr>
        <w:rPr>
          <w:lang w:val="en-GB"/>
        </w:rPr>
      </w:pPr>
      <w:r>
        <w:rPr>
          <w:lang w:val="en-GB"/>
        </w:rPr>
        <w:t>University of Helsinki, Faculty of Agriculture and Forestry</w:t>
      </w:r>
    </w:p>
    <w:p w:rsidR="008159F9" w:rsidRDefault="00CB08E5">
      <w:pPr>
        <w:rPr>
          <w:lang w:val="en-GB"/>
        </w:rPr>
      </w:pPr>
      <w:hyperlink r:id="rId5" w:history="1">
        <w:r w:rsidR="008159F9" w:rsidRPr="00D24097">
          <w:rPr>
            <w:rStyle w:val="Hypertextovodkaz"/>
            <w:lang w:val="en-GB"/>
          </w:rPr>
          <w:t>harri.nyberg@helsinki.fi</w:t>
        </w:r>
      </w:hyperlink>
    </w:p>
    <w:p w:rsidR="008159F9" w:rsidRPr="00DA3C75" w:rsidRDefault="008159F9">
      <w:pPr>
        <w:rPr>
          <w:lang w:val="en-GB"/>
        </w:rPr>
      </w:pPr>
    </w:p>
    <w:sectPr w:rsidR="008159F9" w:rsidRPr="00DA3C75" w:rsidSect="00CC06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applyBreakingRules/>
    <w:useFELayout/>
    <w:compatSetting w:name="compatibilityMode" w:uri="http://schemas.microsoft.com/office/word" w:val="12"/>
  </w:compat>
  <w:rsids>
    <w:rsidRoot w:val="00DA3C75"/>
    <w:rsid w:val="00285ED5"/>
    <w:rsid w:val="006C6D5E"/>
    <w:rsid w:val="008159F9"/>
    <w:rsid w:val="008D6E63"/>
    <w:rsid w:val="009667DD"/>
    <w:rsid w:val="00A91111"/>
    <w:rsid w:val="00CB08E5"/>
    <w:rsid w:val="00CC06B9"/>
    <w:rsid w:val="00D81270"/>
    <w:rsid w:val="00DA3C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fi-FI"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6B9"/>
  </w:style>
  <w:style w:type="paragraph" w:styleId="Nadpis4">
    <w:name w:val="heading 4"/>
    <w:basedOn w:val="Normln"/>
    <w:link w:val="Nadpis4Char"/>
    <w:uiPriority w:val="9"/>
    <w:qFormat/>
    <w:rsid w:val="00DA3C75"/>
    <w:pPr>
      <w:spacing w:after="240" w:line="240" w:lineRule="auto"/>
      <w:outlineLvl w:val="3"/>
    </w:pPr>
    <w:rPr>
      <w:rFonts w:ascii="Times New Roman" w:eastAsia="Times New Roman" w:hAnsi="Times New Roman" w:cs="Times New Roman"/>
      <w:b/>
      <w:bCs/>
      <w:color w:val="333333"/>
      <w:sz w:val="24"/>
      <w:szCs w:val="24"/>
    </w:rPr>
  </w:style>
  <w:style w:type="paragraph" w:styleId="Nadpis5">
    <w:name w:val="heading 5"/>
    <w:basedOn w:val="Normln"/>
    <w:link w:val="Nadpis5Char"/>
    <w:uiPriority w:val="9"/>
    <w:qFormat/>
    <w:rsid w:val="00DA3C75"/>
    <w:pPr>
      <w:spacing w:after="240" w:line="240" w:lineRule="auto"/>
      <w:outlineLvl w:val="4"/>
    </w:pPr>
    <w:rPr>
      <w:rFonts w:ascii="Times New Roman" w:eastAsia="Times New Roman" w:hAnsi="Times New Roman" w:cs="Times New Roman"/>
      <w:b/>
      <w:bCs/>
      <w:color w:val="33333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A3C75"/>
    <w:rPr>
      <w:rFonts w:ascii="Times New Roman" w:eastAsia="Times New Roman" w:hAnsi="Times New Roman" w:cs="Times New Roman"/>
      <w:b/>
      <w:bCs/>
      <w:color w:val="333333"/>
      <w:sz w:val="24"/>
      <w:szCs w:val="24"/>
    </w:rPr>
  </w:style>
  <w:style w:type="character" w:customStyle="1" w:styleId="Nadpis5Char">
    <w:name w:val="Nadpis 5 Char"/>
    <w:basedOn w:val="Standardnpsmoodstavce"/>
    <w:link w:val="Nadpis5"/>
    <w:uiPriority w:val="9"/>
    <w:rsid w:val="00DA3C75"/>
    <w:rPr>
      <w:rFonts w:ascii="Times New Roman" w:eastAsia="Times New Roman" w:hAnsi="Times New Roman" w:cs="Times New Roman"/>
      <w:b/>
      <w:bCs/>
      <w:color w:val="333333"/>
      <w:sz w:val="24"/>
      <w:szCs w:val="24"/>
    </w:rPr>
  </w:style>
  <w:style w:type="paragraph" w:styleId="Normlnweb">
    <w:name w:val="Normal (Web)"/>
    <w:basedOn w:val="Normln"/>
    <w:uiPriority w:val="99"/>
    <w:semiHidden/>
    <w:unhideWhenUsed/>
    <w:rsid w:val="00DA3C75"/>
    <w:pPr>
      <w:spacing w:after="240"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DA3C75"/>
    <w:rPr>
      <w:b/>
      <w:bCs/>
    </w:rPr>
  </w:style>
  <w:style w:type="character" w:styleId="Hypertextovodkaz">
    <w:name w:val="Hyperlink"/>
    <w:basedOn w:val="Standardnpsmoodstavce"/>
    <w:uiPriority w:val="99"/>
    <w:unhideWhenUsed/>
    <w:rsid w:val="00815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4989">
      <w:bodyDiv w:val="1"/>
      <w:marLeft w:val="0"/>
      <w:marRight w:val="0"/>
      <w:marTop w:val="0"/>
      <w:marBottom w:val="0"/>
      <w:divBdr>
        <w:top w:val="none" w:sz="0" w:space="0" w:color="auto"/>
        <w:left w:val="none" w:sz="0" w:space="0" w:color="auto"/>
        <w:bottom w:val="none" w:sz="0" w:space="0" w:color="auto"/>
        <w:right w:val="none" w:sz="0" w:space="0" w:color="auto"/>
      </w:divBdr>
      <w:divsChild>
        <w:div w:id="755634186">
          <w:marLeft w:val="0"/>
          <w:marRight w:val="0"/>
          <w:marTop w:val="0"/>
          <w:marBottom w:val="0"/>
          <w:divBdr>
            <w:top w:val="none" w:sz="0" w:space="0" w:color="auto"/>
            <w:left w:val="single" w:sz="6" w:space="0" w:color="8B8B8B"/>
            <w:bottom w:val="single" w:sz="6" w:space="0" w:color="8B8B8B"/>
            <w:right w:val="single" w:sz="6" w:space="0" w:color="8B8B8B"/>
          </w:divBdr>
          <w:divsChild>
            <w:div w:id="936183172">
              <w:marLeft w:val="0"/>
              <w:marRight w:val="0"/>
              <w:marTop w:val="0"/>
              <w:marBottom w:val="0"/>
              <w:divBdr>
                <w:top w:val="none" w:sz="0" w:space="0" w:color="auto"/>
                <w:left w:val="none" w:sz="0" w:space="0" w:color="auto"/>
                <w:bottom w:val="none" w:sz="0" w:space="0" w:color="auto"/>
                <w:right w:val="none" w:sz="0" w:space="0" w:color="auto"/>
              </w:divBdr>
              <w:divsChild>
                <w:div w:id="883251087">
                  <w:marLeft w:val="0"/>
                  <w:marRight w:val="0"/>
                  <w:marTop w:val="0"/>
                  <w:marBottom w:val="0"/>
                  <w:divBdr>
                    <w:top w:val="none" w:sz="0" w:space="0" w:color="auto"/>
                    <w:left w:val="none" w:sz="0" w:space="0" w:color="auto"/>
                    <w:bottom w:val="none" w:sz="0" w:space="0" w:color="auto"/>
                    <w:right w:val="none" w:sz="0" w:space="0" w:color="auto"/>
                  </w:divBdr>
                  <w:divsChild>
                    <w:div w:id="2019312329">
                      <w:marLeft w:val="285"/>
                      <w:marRight w:val="285"/>
                      <w:marTop w:val="0"/>
                      <w:marBottom w:val="0"/>
                      <w:divBdr>
                        <w:top w:val="none" w:sz="0" w:space="0" w:color="auto"/>
                        <w:left w:val="none" w:sz="0" w:space="0" w:color="auto"/>
                        <w:bottom w:val="none" w:sz="0" w:space="0" w:color="auto"/>
                        <w:right w:val="none" w:sz="0" w:space="0" w:color="auto"/>
                      </w:divBdr>
                      <w:divsChild>
                        <w:div w:id="111077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665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nyberg@helsinki.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1733</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Hnyberg</dc:creator>
  <cp:keywords/>
  <dc:description/>
  <cp:lastModifiedBy>Vilimovska Martina</cp:lastModifiedBy>
  <cp:revision>2</cp:revision>
  <cp:lastPrinted>2010-12-15T10:10:00Z</cp:lastPrinted>
  <dcterms:created xsi:type="dcterms:W3CDTF">2012-04-04T13:05:00Z</dcterms:created>
  <dcterms:modified xsi:type="dcterms:W3CDTF">2012-04-04T13:05:00Z</dcterms:modified>
</cp:coreProperties>
</file>