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</w:pPr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 xml:space="preserve">Institute </w:t>
      </w:r>
      <w:proofErr w:type="spellStart"/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 xml:space="preserve"> Technology </w:t>
      </w:r>
      <w:proofErr w:type="spellStart"/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>Tr</w:t>
      </w:r>
      <w:bookmarkStart w:id="0" w:name="_GoBack"/>
      <w:bookmarkEnd w:id="0"/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>alee</w:t>
      </w:r>
      <w:proofErr w:type="spellEnd"/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</w:pPr>
      <w:r w:rsidRPr="00D6100A">
        <w:rPr>
          <w:rFonts w:ascii="Verdana" w:eastAsia="Times New Roman" w:hAnsi="Verdana" w:cs="Segoe UI"/>
          <w:b/>
          <w:color w:val="000000"/>
          <w:sz w:val="28"/>
          <w:szCs w:val="28"/>
          <w:lang w:eastAsia="cs-CZ"/>
        </w:rPr>
        <w:t>IRL TRALEE01</w:t>
      </w:r>
    </w:p>
    <w:p w:rsidR="00D6100A" w:rsidRPr="00D6100A" w:rsidRDefault="00D6100A" w:rsidP="00D6100A">
      <w:pPr>
        <w:spacing w:after="0" w:line="240" w:lineRule="auto"/>
        <w:rPr>
          <w:rFonts w:ascii="Segoe UI" w:eastAsia="Times New Roman" w:hAnsi="Segoe UI" w:cs="Segoe UI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Segoe UI" w:eastAsia="Times New Roman" w:hAnsi="Segoe UI" w:cs="Segoe UI"/>
          <w:sz w:val="20"/>
          <w:szCs w:val="20"/>
          <w:lang w:eastAsia="cs-CZ"/>
        </w:rPr>
        <w:br/>
        <w:t xml:space="preserve">&gt;&gt;&gt; </w:t>
      </w:r>
      <w:proofErr w:type="spellStart"/>
      <w:r w:rsidRPr="00D6100A">
        <w:rPr>
          <w:rFonts w:ascii="Segoe UI" w:eastAsia="Times New Roman" w:hAnsi="Segoe UI" w:cs="Segoe UI"/>
          <w:sz w:val="20"/>
          <w:szCs w:val="20"/>
          <w:lang w:eastAsia="cs-CZ"/>
        </w:rPr>
        <w:t>Eddie</w:t>
      </w:r>
      <w:proofErr w:type="spellEnd"/>
      <w:r w:rsidRPr="00D6100A">
        <w:rPr>
          <w:rFonts w:ascii="Segoe UI" w:eastAsia="Times New Roman" w:hAnsi="Segoe UI" w:cs="Segoe UI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Segoe UI" w:eastAsia="Times New Roman" w:hAnsi="Segoe UI" w:cs="Segoe UI"/>
          <w:sz w:val="20"/>
          <w:szCs w:val="20"/>
          <w:lang w:eastAsia="cs-CZ"/>
        </w:rPr>
        <w:t>Scully</w:t>
      </w:r>
      <w:proofErr w:type="spellEnd"/>
      <w:r w:rsidRPr="00D6100A">
        <w:rPr>
          <w:rFonts w:ascii="Segoe UI" w:eastAsia="Times New Roman" w:hAnsi="Segoe UI" w:cs="Segoe UI"/>
          <w:sz w:val="20"/>
          <w:szCs w:val="20"/>
          <w:lang w:eastAsia="cs-CZ"/>
        </w:rPr>
        <w:t xml:space="preserve"> &lt;Eddie.Scully@staff.ittralee.ie&gt; 26.11.2014 11:39 &gt;&gt;&gt;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Hi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,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I hope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finds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well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. I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wanted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write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let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know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business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studies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department in IT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Tralee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has made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some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significant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it's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Business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Studies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programmes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which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may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have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implications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interested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coming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study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Tralee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either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on Erasmus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Study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Abroad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working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from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new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Erasmus + mailing list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ask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forward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any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internal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colleagues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may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not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have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on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list.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main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need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aware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6 ( Jan-May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3)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no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longer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taught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after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academic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.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 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From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Sept 2015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onwards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6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work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placement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where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full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time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student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registered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on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bachelor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programme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undertake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work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placement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. 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not on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Bachelor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programme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and study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here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during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time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always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did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but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their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choice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not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large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before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.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practical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terms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choose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from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2,4 and 8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during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Jan-May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Spring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always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did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. </w:t>
      </w:r>
    </w:p>
    <w:p w:rsidR="00D6100A" w:rsidRPr="00D6100A" w:rsidRDefault="00D6100A" w:rsidP="00D6100A">
      <w:pPr>
        <w:spacing w:after="24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List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6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available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NOT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available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during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Jan-May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coming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academic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2015/16.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Marketing Communications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Management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Practice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Databases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Web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Analytics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Social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Media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Applications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Corporate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Tax &amp;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Deferred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Tax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Corporate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Reporting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Accounting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Decision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Makers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Business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Plan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Mapping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Applied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Corporate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Law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Inventory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Management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International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Trading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Environment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Financial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Management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coming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Autumn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/Winter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semester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have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similar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number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choose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from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have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had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previous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u w:val="single"/>
          <w:lang w:eastAsia="cs-CZ"/>
        </w:rPr>
        <w:t>years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but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should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also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take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time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look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list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actual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available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different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from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previous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years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programme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send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out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full list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modules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forecast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available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early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new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and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make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their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studies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here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based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on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list.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introduced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are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significant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enough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was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felt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better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alert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advance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so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accordingly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registered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 xml:space="preserve"> on </w:t>
      </w: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 xml:space="preserve"> 3 </w:t>
      </w: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Bachelor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Programmes</w:t>
      </w:r>
      <w:proofErr w:type="spellEnd"/>
      <w:r w:rsidRPr="00D6100A">
        <w:rPr>
          <w:rFonts w:ascii="Verdana" w:eastAsia="Times New Roman" w:hAnsi="Verdana" w:cs="Segoe UI"/>
          <w:b/>
          <w:bCs/>
          <w:color w:val="000000"/>
          <w:sz w:val="20"/>
          <w:szCs w:val="20"/>
          <w:u w:val="single"/>
          <w:lang w:eastAsia="cs-CZ"/>
        </w:rPr>
        <w:t>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coming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join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full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time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Bachelor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programme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year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3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should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aware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too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expected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undertake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work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placement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same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lastRenderedPageBreak/>
        <w:t>way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as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domestic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.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who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do not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secure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work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placement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(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supported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their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search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work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placement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but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it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is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part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the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process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they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must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seek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it</w:t>
      </w:r>
      <w:proofErr w:type="spellEnd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i/>
          <w:iCs/>
          <w:color w:val="000000"/>
          <w:sz w:val="20"/>
          <w:szCs w:val="20"/>
          <w:lang w:eastAsia="cs-CZ"/>
        </w:rPr>
        <w:t>themselves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), 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there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applied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professional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practice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mode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where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either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individually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in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small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groups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take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on and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complete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small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medium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sized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projects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number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outside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companies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(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almost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like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consultant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,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except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would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given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lots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guidance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and support by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lecturers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). 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I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doubt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news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will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require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any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make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drastic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changes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outbound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mobility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plans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for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, but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better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are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alerted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now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so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that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you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can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advise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students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to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plan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accordingly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.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D6100A" w:rsidRPr="00D6100A" w:rsidRDefault="00D6100A" w:rsidP="00D6100A">
      <w:pPr>
        <w:spacing w:after="24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Regards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,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-- </w:t>
      </w:r>
    </w:p>
    <w:p w:rsidR="00D6100A" w:rsidRPr="00D6100A" w:rsidRDefault="00D6100A" w:rsidP="00D6100A">
      <w:pPr>
        <w:spacing w:after="0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Eddie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Scully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  <w:t xml:space="preserve">International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Officer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  <w:t>Tel:00 353 66 7191689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  <w:t>International Office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  <w:t xml:space="preserve">Institute </w:t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of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 xml:space="preserve"> Technology 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Tralee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, Co. Kerry</w:t>
      </w:r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</w:r>
      <w:proofErr w:type="spellStart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t>Ireland</w:t>
      </w:r>
      <w:proofErr w:type="spellEnd"/>
      <w:r w:rsidRPr="00D6100A">
        <w:rPr>
          <w:rFonts w:ascii="Verdana" w:eastAsia="Times New Roman" w:hAnsi="Verdana" w:cs="Segoe UI"/>
          <w:color w:val="000000"/>
          <w:sz w:val="20"/>
          <w:szCs w:val="20"/>
          <w:lang w:eastAsia="cs-CZ"/>
        </w:rPr>
        <w:br/>
        <w:t>https://www.facebook.com/ITTraleeInternationalOffice</w:t>
      </w:r>
    </w:p>
    <w:p w:rsidR="00D6100A" w:rsidRPr="00D6100A" w:rsidRDefault="00D6100A" w:rsidP="00D6100A">
      <w:pPr>
        <w:spacing w:after="15" w:line="240" w:lineRule="auto"/>
        <w:rPr>
          <w:rFonts w:ascii="Verdana" w:eastAsia="Times New Roman" w:hAnsi="Verdana" w:cs="Segoe UI"/>
          <w:color w:val="000000"/>
          <w:sz w:val="20"/>
          <w:szCs w:val="20"/>
          <w:lang w:eastAsia="cs-CZ"/>
        </w:rPr>
      </w:pPr>
    </w:p>
    <w:p w:rsidR="00262064" w:rsidRDefault="00262064"/>
    <w:sectPr w:rsidR="00262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096"/>
    <w:rsid w:val="00262064"/>
    <w:rsid w:val="00D6100A"/>
    <w:rsid w:val="00FB3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D2828-08D2-43B7-B438-3B1C5C1C9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draznn">
    <w:name w:val="Emphasis"/>
    <w:basedOn w:val="Standardnpsmoodstavce"/>
    <w:uiPriority w:val="20"/>
    <w:qFormat/>
    <w:rsid w:val="00D6100A"/>
    <w:rPr>
      <w:i/>
      <w:iCs/>
    </w:rPr>
  </w:style>
  <w:style w:type="character" w:styleId="Siln">
    <w:name w:val="Strong"/>
    <w:basedOn w:val="Standardnpsmoodstavce"/>
    <w:uiPriority w:val="22"/>
    <w:qFormat/>
    <w:rsid w:val="00D6100A"/>
    <w:rPr>
      <w:b/>
      <w:bCs/>
    </w:rPr>
  </w:style>
  <w:style w:type="character" w:customStyle="1" w:styleId="zmsearchresult">
    <w:name w:val="zmsearchresult"/>
    <w:basedOn w:val="Standardnpsmoodstavce"/>
    <w:rsid w:val="00D610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5160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23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33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772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456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657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420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1558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17212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5040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728563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45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88103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1150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19481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6446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283839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54071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83563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4518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647269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57476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81159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0587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23109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4106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494</Words>
  <Characters>2921</Characters>
  <Application>Microsoft Office Word</Application>
  <DocSecurity>0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oiktadmin</dc:creator>
  <cp:keywords/>
  <dc:description/>
  <cp:lastModifiedBy>oiktadmin</cp:lastModifiedBy>
  <cp:revision>2</cp:revision>
  <dcterms:created xsi:type="dcterms:W3CDTF">2015-02-02T14:26:00Z</dcterms:created>
  <dcterms:modified xsi:type="dcterms:W3CDTF">2015-02-02T14:26:00Z</dcterms:modified>
</cp:coreProperties>
</file>