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A264" w14:textId="1D59CE74" w:rsidR="002758B2" w:rsidRPr="00AF196D" w:rsidRDefault="005E748D" w:rsidP="002758B2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eop"/>
          <w:rFonts w:ascii="Calibri" w:hAnsi="Calibri" w:cs="Calibri"/>
          <w:sz w:val="36"/>
          <w:szCs w:val="36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V</w:t>
      </w:r>
      <w:r w:rsidR="002758B2" w:rsidRPr="00AF196D">
        <w:rPr>
          <w:rStyle w:val="normaltextrun"/>
          <w:rFonts w:ascii="Calibri" w:hAnsi="Calibri" w:cs="Calibri"/>
          <w:b/>
          <w:bCs/>
          <w:sz w:val="36"/>
          <w:szCs w:val="36"/>
        </w:rPr>
        <w:t>yn</w:t>
      </w:r>
      <w:r>
        <w:rPr>
          <w:rStyle w:val="normaltextrun"/>
          <w:rFonts w:ascii="Calibri" w:hAnsi="Calibri" w:cs="Calibri"/>
          <w:b/>
          <w:bCs/>
          <w:sz w:val="36"/>
          <w:szCs w:val="36"/>
        </w:rPr>
        <w:t xml:space="preserve">ález nové </w:t>
      </w:r>
      <w:r w:rsidR="002758B2" w:rsidRPr="00AF196D">
        <w:rPr>
          <w:rStyle w:val="normaltextrun"/>
          <w:rFonts w:ascii="Calibri" w:hAnsi="Calibri" w:cs="Calibri"/>
          <w:b/>
          <w:bCs/>
          <w:sz w:val="36"/>
          <w:szCs w:val="36"/>
        </w:rPr>
        <w:t>technologie inspirovan</w:t>
      </w:r>
      <w:r>
        <w:rPr>
          <w:rStyle w:val="normaltextrun"/>
          <w:rFonts w:ascii="Calibri" w:hAnsi="Calibri" w:cs="Calibri"/>
          <w:b/>
          <w:bCs/>
          <w:sz w:val="36"/>
          <w:szCs w:val="36"/>
        </w:rPr>
        <w:t>ý</w:t>
      </w:r>
      <w:r w:rsidR="002758B2" w:rsidRPr="00AF196D">
        <w:rPr>
          <w:rStyle w:val="normaltextrun"/>
          <w:rFonts w:ascii="Calibri" w:hAnsi="Calibri" w:cs="Calibri"/>
          <w:b/>
          <w:bCs/>
          <w:sz w:val="36"/>
          <w:szCs w:val="36"/>
        </w:rPr>
        <w:t> světem rostlin</w:t>
      </w:r>
      <w:r w:rsidR="002758B2" w:rsidRPr="00AF196D">
        <w:rPr>
          <w:rStyle w:val="eop"/>
          <w:rFonts w:ascii="Calibri" w:hAnsi="Calibri" w:cs="Calibri"/>
          <w:sz w:val="36"/>
          <w:szCs w:val="36"/>
        </w:rPr>
        <w:t> </w:t>
      </w:r>
    </w:p>
    <w:p w14:paraId="3F27BDBB" w14:textId="77777777" w:rsidR="002758B2" w:rsidRDefault="002758B2" w:rsidP="002758B2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2A67BE2" w14:textId="7DD9FBF7" w:rsidR="002758B2" w:rsidRDefault="002758B2" w:rsidP="002758B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Praha</w:t>
      </w:r>
      <w:r w:rsidR="00217A8E">
        <w:rPr>
          <w:rStyle w:val="normaltextrun"/>
          <w:rFonts w:ascii="Calibri" w:hAnsi="Calibri" w:cs="Calibri"/>
          <w:b/>
          <w:bCs/>
          <w:sz w:val="22"/>
          <w:szCs w:val="22"/>
        </w:rPr>
        <w:t>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217A8E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3. </w:t>
      </w:r>
      <w:r w:rsidR="005E748D">
        <w:rPr>
          <w:rStyle w:val="normaltextrun"/>
          <w:rFonts w:ascii="Calibri" w:hAnsi="Calibri" w:cs="Calibri"/>
          <w:b/>
          <w:bCs/>
          <w:sz w:val="22"/>
          <w:szCs w:val="22"/>
        </w:rPr>
        <w:t>června 2021</w:t>
      </w:r>
      <w:r w:rsidR="00217A8E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-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Vědci z Fakulty agrobiologie, přírodních a potravinových zdrojů ČZU vyvinuli zcela nový materiál na bázi nanočástic oxidu křemičitého pro řízené uvolňování přírodních antimikrobiálních látek z rostlin. Díky tomuto systému je nyní možné prodloužit, a dokonce i zvýšit účinnost přírodních látek, které se</w:t>
      </w:r>
      <w:r w:rsidR="00C9344D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stále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čast</w:t>
      </w:r>
      <w:r w:rsidR="00C9344D">
        <w:rPr>
          <w:rStyle w:val="normaltextrun"/>
          <w:rFonts w:ascii="Calibri" w:hAnsi="Calibri" w:cs="Calibri"/>
          <w:b/>
          <w:bCs/>
          <w:sz w:val="22"/>
          <w:szCs w:val="22"/>
        </w:rPr>
        <w:t>ěji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využívají v zemědělství, kosmetickém průmyslu, ale například i v medicíně. Výsledky výzkumu jsou patentovány a byly také publikovány ve vědeckém časopise </w:t>
      </w:r>
      <w:proofErr w:type="spellStart"/>
      <w:r w:rsidRPr="00AF196D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Nanomaterials</w:t>
      </w:r>
      <w:proofErr w:type="spellEnd"/>
      <w:r w:rsidR="0088633B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.</w:t>
      </w:r>
    </w:p>
    <w:p w14:paraId="77EB7BD8" w14:textId="77777777" w:rsidR="002758B2" w:rsidRDefault="002758B2" w:rsidP="002758B2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FFAF94B" w14:textId="12F4708A" w:rsidR="002758B2" w:rsidRDefault="002758B2" w:rsidP="002758B2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Stejně jako živočichové, i rostliny si postupem času vytvořily různé obranné mechanismy. Jedním z nich je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produkce bioaktivních látek</w:t>
      </w:r>
      <w:r>
        <w:rPr>
          <w:rStyle w:val="normaltextrun"/>
          <w:rFonts w:ascii="Calibri" w:hAnsi="Calibri" w:cs="Calibri"/>
          <w:sz w:val="22"/>
          <w:szCs w:val="22"/>
        </w:rPr>
        <w:t>, které chrání rostlinu před predátory (hmyz, býložravci), ale i mnoha druhy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patogenů </w:t>
      </w:r>
      <w:r>
        <w:rPr>
          <w:rStyle w:val="normaltextrun"/>
          <w:rFonts w:ascii="Calibri" w:hAnsi="Calibri" w:cs="Calibri"/>
          <w:sz w:val="22"/>
          <w:szCs w:val="22"/>
        </w:rPr>
        <w:t>(bakterie, plísně). Právě pro jejich antibakteriální, insekticidní a antimykotické účinky jsou tyto látky extrahovány z rostlin a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ve formě silic</w:t>
      </w:r>
      <w:r>
        <w:rPr>
          <w:rStyle w:val="normaltextrun"/>
          <w:rFonts w:ascii="Calibri" w:hAnsi="Calibri" w:cs="Calibri"/>
          <w:sz w:val="22"/>
          <w:szCs w:val="22"/>
        </w:rPr>
        <w:t> se dále používají k</w:t>
      </w:r>
      <w:r w:rsidR="001679FF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výrobě</w:t>
      </w:r>
      <w:r w:rsidR="00C9344D">
        <w:rPr>
          <w:rStyle w:val="normaltextrun"/>
          <w:rFonts w:ascii="Calibri" w:hAnsi="Calibri" w:cs="Calibri"/>
          <w:sz w:val="22"/>
          <w:szCs w:val="22"/>
        </w:rPr>
        <w:t xml:space="preserve"> pesticidů,</w:t>
      </w:r>
      <w:r>
        <w:rPr>
          <w:rStyle w:val="normaltextrun"/>
          <w:rFonts w:ascii="Calibri" w:hAnsi="Calibri" w:cs="Calibri"/>
          <w:sz w:val="22"/>
          <w:szCs w:val="22"/>
        </w:rPr>
        <w:t> léčiv, doplňků stravy i kosmetiky. Užití nachází také v zemědělském a potravinářském průmyslu, kde mají potenciál při uchovávání potravin a vývoji ekologicky šetrných zemědělských přípravků.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3A7468" w14:textId="0107C4B9" w:rsidR="002758B2" w:rsidRPr="00AF196D" w:rsidRDefault="002758B2" w:rsidP="002758B2">
      <w:pPr>
        <w:pStyle w:val="paragraph"/>
        <w:ind w:firstLine="70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Týmu docenta Kloučka z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Fakulty agrobiologie, potravinových a přírodních zdroj</w:t>
      </w:r>
      <w:r>
        <w:rPr>
          <w:rStyle w:val="normaltextrun"/>
          <w:rFonts w:ascii="Calibri" w:hAnsi="Calibri" w:cs="Calibri"/>
          <w:sz w:val="22"/>
          <w:szCs w:val="22"/>
        </w:rPr>
        <w:t>ů na ČZU se nyní ve spolupráci s kolegy ze španělské polytechnické univerzity ve Valencii podařil zásadní objev.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V laboratoři během několikaletého experimentu vyvinuli zcela nový </w:t>
      </w:r>
      <w:proofErr w:type="spellStart"/>
      <w:r>
        <w:rPr>
          <w:rStyle w:val="spellingerror"/>
          <w:rFonts w:ascii="Calibri" w:eastAsiaTheme="minorHAnsi" w:hAnsi="Calibri" w:cs="Calibri"/>
          <w:b/>
          <w:bCs/>
          <w:sz w:val="22"/>
          <w:szCs w:val="22"/>
        </w:rPr>
        <w:t>mezoporézní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> materiál na bázi oxidu křemičitého pro řízené uvolňování aktivních látek.</w:t>
      </w:r>
      <w:r>
        <w:rPr>
          <w:rStyle w:val="normaltextrun"/>
          <w:rFonts w:ascii="Calibri" w:hAnsi="Calibri" w:cs="Calibri"/>
          <w:sz w:val="22"/>
          <w:szCs w:val="22"/>
        </w:rPr>
        <w:t> Póry materiálu jsou naplněny aktivní látkou a uzavřeny pomocí pomyslného “víčka”, které je tvořeno sacharidy. </w:t>
      </w:r>
      <w:r w:rsidRPr="00AF196D">
        <w:rPr>
          <w:rStyle w:val="normaltextrun"/>
          <w:rFonts w:ascii="Calibri" w:hAnsi="Calibri" w:cs="Calibri"/>
          <w:i/>
          <w:iCs/>
          <w:sz w:val="22"/>
          <w:szCs w:val="22"/>
        </w:rPr>
        <w:t>„Právě tyto sacharidy se při kontaktu s enzymy cizích mikroorganismů rozpadají a látka z pórů se okamžitě uvolňuje. Materiál tak vlastně funguje jako past, kterou spustí samotný mikroorganismus, podobně jako v rostlinách samotných. Řízené uvolnění obsahu ve správný čas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 w:rsidRPr="00AF196D">
        <w:rPr>
          <w:rStyle w:val="normaltextrun"/>
          <w:rFonts w:ascii="Calibri" w:hAnsi="Calibri" w:cs="Calibri"/>
          <w:i/>
          <w:iCs/>
          <w:sz w:val="22"/>
          <w:szCs w:val="22"/>
        </w:rPr>
        <w:t>ale není jedinou výhodou,“</w:t>
      </w:r>
      <w:r>
        <w:rPr>
          <w:rStyle w:val="normaltextrun"/>
          <w:rFonts w:ascii="Calibri" w:hAnsi="Calibri" w:cs="Calibri"/>
          <w:sz w:val="22"/>
          <w:szCs w:val="22"/>
        </w:rPr>
        <w:t xml:space="preserve"> vysvětluje mechanismus řízeného uvolnění doc. Pavel Klouček</w:t>
      </w:r>
      <w:r w:rsidR="00E75F12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vedoucí katedry kvality a bezpečnosti potravin FAPPZ.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Antimikrobiální těkavé látky</w:t>
      </w:r>
      <w:r>
        <w:rPr>
          <w:rStyle w:val="normaltextrun"/>
          <w:rFonts w:ascii="Calibri" w:hAnsi="Calibri" w:cs="Calibri"/>
          <w:sz w:val="22"/>
          <w:szCs w:val="22"/>
        </w:rPr>
        <w:t> z rostlin jsou </w:t>
      </w:r>
      <w:r w:rsidR="00183755">
        <w:rPr>
          <w:rStyle w:val="normaltextrun"/>
          <w:rFonts w:ascii="Calibri" w:hAnsi="Calibri" w:cs="Calibri"/>
          <w:sz w:val="22"/>
          <w:szCs w:val="22"/>
        </w:rPr>
        <w:t xml:space="preserve">totiž </w:t>
      </w:r>
      <w:r>
        <w:rPr>
          <w:rStyle w:val="normaltextrun"/>
          <w:rFonts w:ascii="Calibri" w:hAnsi="Calibri" w:cs="Calibri"/>
          <w:sz w:val="22"/>
          <w:szCs w:val="22"/>
        </w:rPr>
        <w:t>pravděpodobně jedním z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nejúčinnějších přírodních pesticidů</w:t>
      </w:r>
      <w:r>
        <w:rPr>
          <w:rStyle w:val="normaltextrun"/>
          <w:rFonts w:ascii="Calibri" w:hAnsi="Calibri" w:cs="Calibri"/>
          <w:sz w:val="22"/>
          <w:szCs w:val="22"/>
        </w:rPr>
        <w:t>. Úspěšně zabírají například v boji s takzvanou “černou plísní” (</w:t>
      </w:r>
      <w:proofErr w:type="spellStart"/>
      <w:r>
        <w:rPr>
          <w:rStyle w:val="spellingerror"/>
          <w:rFonts w:ascii="Calibri" w:eastAsiaTheme="minorHAnsi" w:hAnsi="Calibri" w:cs="Calibri"/>
          <w:i/>
          <w:iCs/>
          <w:sz w:val="22"/>
          <w:szCs w:val="22"/>
        </w:rPr>
        <w:t>Aspergillus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proofErr w:type="spellStart"/>
      <w:r>
        <w:rPr>
          <w:rStyle w:val="spellingerror"/>
          <w:rFonts w:ascii="Calibri" w:eastAsiaTheme="minorHAnsi" w:hAnsi="Calibri" w:cs="Calibri"/>
          <w:i/>
          <w:iCs/>
          <w:sz w:val="22"/>
          <w:szCs w:val="22"/>
        </w:rPr>
        <w:t>niger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), která napadá mnohé zemědělské produkty. V běžném prostředí se ale těkavé látky velmi rychle odpařují a jejich účinnost tak v čase výrazně klesá. „</w:t>
      </w:r>
      <w:r w:rsidRPr="00AF196D">
        <w:rPr>
          <w:rStyle w:val="normaltextrun"/>
          <w:rFonts w:ascii="Calibri" w:hAnsi="Calibri" w:cs="Calibri"/>
          <w:i/>
          <w:iCs/>
          <w:sz w:val="22"/>
          <w:szCs w:val="22"/>
        </w:rPr>
        <w:t>V </w:t>
      </w:r>
      <w:proofErr w:type="spellStart"/>
      <w:r w:rsidRPr="00AF196D">
        <w:rPr>
          <w:rStyle w:val="spellingerror"/>
          <w:rFonts w:ascii="Calibri" w:eastAsiaTheme="minorHAnsi" w:hAnsi="Calibri" w:cs="Calibri"/>
          <w:i/>
          <w:iCs/>
          <w:sz w:val="22"/>
          <w:szCs w:val="22"/>
        </w:rPr>
        <w:t>mezoporézním</w:t>
      </w:r>
      <w:proofErr w:type="spellEnd"/>
      <w:r w:rsidRPr="00AF196D">
        <w:rPr>
          <w:rStyle w:val="normaltextrun"/>
          <w:rFonts w:ascii="Calibri" w:hAnsi="Calibri" w:cs="Calibri"/>
          <w:i/>
          <w:iCs/>
          <w:sz w:val="22"/>
          <w:szCs w:val="22"/>
        </w:rPr>
        <w:t> materiálu jsou tyto látky </w:t>
      </w:r>
      <w:r w:rsidRPr="00AF196D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bezpečně uzavřeny</w:t>
      </w:r>
      <w:r w:rsidRPr="00AF196D">
        <w:rPr>
          <w:rStyle w:val="normaltextrun"/>
          <w:rFonts w:ascii="Calibri" w:hAnsi="Calibri" w:cs="Calibri"/>
          <w:i/>
          <w:iCs/>
          <w:sz w:val="22"/>
          <w:szCs w:val="22"/>
        </w:rPr>
        <w:t>, takže nemohou rychle vyprchat a uvolní se až když přijde jejich čas. Všechny složky nového materiálu jsou navíc netoxické, bezpečné, založené na přírodních materiálech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Díky tomu mohou posloužit např. jako náhrada syntetických pesticidů,“ </w:t>
      </w:r>
      <w:r w:rsidRPr="00AF196D">
        <w:rPr>
          <w:rStyle w:val="normaltextrun"/>
          <w:rFonts w:ascii="Calibri" w:hAnsi="Calibri" w:cs="Calibri"/>
          <w:sz w:val="22"/>
          <w:szCs w:val="22"/>
        </w:rPr>
        <w:t xml:space="preserve">doplňuje Ing. Matěj Božik, Ph.D. </w:t>
      </w:r>
      <w:r>
        <w:rPr>
          <w:rStyle w:val="normaltextrun"/>
          <w:rFonts w:ascii="Calibri" w:hAnsi="Calibri" w:cs="Calibri"/>
          <w:sz w:val="22"/>
          <w:szCs w:val="22"/>
        </w:rPr>
        <w:t xml:space="preserve">z </w:t>
      </w:r>
      <w:r w:rsidR="00AA772B">
        <w:rPr>
          <w:rStyle w:val="normaltextrun"/>
          <w:rFonts w:ascii="Calibri" w:hAnsi="Calibri" w:cs="Calibri"/>
          <w:sz w:val="22"/>
          <w:szCs w:val="22"/>
        </w:rPr>
        <w:t xml:space="preserve">katedry kvality a bezpečnosti potravin </w:t>
      </w:r>
      <w:r w:rsidRPr="00AF196D">
        <w:rPr>
          <w:rStyle w:val="normaltextrun"/>
          <w:rFonts w:ascii="Calibri" w:hAnsi="Calibri" w:cs="Calibri"/>
          <w:sz w:val="22"/>
          <w:szCs w:val="22"/>
        </w:rPr>
        <w:t>FAPPZ.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90A288" w14:textId="62E89718" w:rsidR="002758B2" w:rsidRDefault="002758B2" w:rsidP="002758B2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Tento objev má obrovský potenciál zejména v zemědělsko-potravinářském, kosmetickém a farmaceutickém průmyslu. Vynalezený materiál prodlužuje účinnost přírodních látek, a rozšiřuje se tak možnost jejich využití ve všech </w:t>
      </w:r>
      <w:r w:rsidR="00AA772B">
        <w:rPr>
          <w:rStyle w:val="normaltextrun"/>
          <w:rFonts w:ascii="Calibri" w:hAnsi="Calibri" w:cs="Calibri"/>
          <w:sz w:val="22"/>
          <w:szCs w:val="22"/>
        </w:rPr>
        <w:t xml:space="preserve">zmíněných </w:t>
      </w:r>
      <w:r>
        <w:rPr>
          <w:rStyle w:val="normaltextrun"/>
          <w:rFonts w:ascii="Calibri" w:hAnsi="Calibri" w:cs="Calibri"/>
          <w:sz w:val="22"/>
          <w:szCs w:val="22"/>
        </w:rPr>
        <w:t xml:space="preserve">oborech. Ze silic, které jsou nestálé těkavé kapaliny se tímto </w:t>
      </w:r>
      <w:r w:rsidR="005E748D">
        <w:rPr>
          <w:rStyle w:val="normaltextrun"/>
          <w:rFonts w:ascii="Calibri" w:hAnsi="Calibri" w:cs="Calibri"/>
          <w:sz w:val="22"/>
          <w:szCs w:val="22"/>
        </w:rPr>
        <w:t xml:space="preserve">postupem </w:t>
      </w:r>
      <w:r>
        <w:rPr>
          <w:rStyle w:val="normaltextrun"/>
          <w:rFonts w:ascii="Calibri" w:hAnsi="Calibri" w:cs="Calibri"/>
          <w:sz w:val="22"/>
          <w:szCs w:val="22"/>
        </w:rPr>
        <w:t>stává stabilní dlouhodobě účinný prášek.</w:t>
      </w:r>
    </w:p>
    <w:p w14:paraId="5AB812D9" w14:textId="77777777" w:rsidR="002758B2" w:rsidRDefault="002758B2" w:rsidP="002758B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Vědecký tým v současné době hledá partnery pro komerční využití svého vynálezu, který je chráněn českým a evropským patentem.</w:t>
      </w:r>
    </w:p>
    <w:p w14:paraId="444081D6" w14:textId="77777777" w:rsidR="002758B2" w:rsidRDefault="002758B2" w:rsidP="002758B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79C1D757" w14:textId="77777777" w:rsidR="002758B2" w:rsidRDefault="002758B2" w:rsidP="002758B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eastAsiaTheme="minorHAnsi" w:hAnsi="Calibri" w:cs="Calibri"/>
          <w:b/>
          <w:bCs/>
          <w:sz w:val="22"/>
          <w:szCs w:val="22"/>
        </w:rPr>
        <w:t>Biomimetika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je vědní obor, který se snaží fungující mechanismy ze světa rostlin a živočichů aplikovat při výrobě a vývoji nových technologií. Zmiňované látky jsou pro podobný výzkum ideální, doposud ale vědci naráželi na jeden háček. Ve volné přírodě si rostlina tvoří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zásoby obranných láte</w:t>
      </w:r>
      <w:r>
        <w:rPr>
          <w:rStyle w:val="normaltextrun"/>
          <w:rFonts w:ascii="Calibri" w:hAnsi="Calibri" w:cs="Calibri"/>
          <w:sz w:val="22"/>
          <w:szCs w:val="22"/>
        </w:rPr>
        <w:t>k, které se začnou uvolňovat až v případě napadení cizím mikroorganismem. Extrakcí účinných složek tak přicházíme o zásadní část tohoto procesu. Tou je přesně načasované uvolnění látek ve chvíli, kdy rostlina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zaznamená přítomnost nebezpečného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patogenu</w:t>
      </w:r>
      <w:r>
        <w:rPr>
          <w:rStyle w:val="normaltextrun"/>
          <w:rFonts w:ascii="Calibri" w:hAnsi="Calibri" w:cs="Calibri"/>
          <w:sz w:val="22"/>
          <w:szCs w:val="22"/>
        </w:rPr>
        <w:t>. Ačkoliv se doposud objevovaly technologie fungující na principu postupného uvolňování aktivních látek, tento způsob je s kontrolovaným uvolněním látek v přírodě jen těžko srovnatelný.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6F1453" w14:textId="77777777" w:rsidR="002758B2" w:rsidRDefault="002758B2" w:rsidP="002758B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6B8765" w14:textId="77777777" w:rsidR="002758B2" w:rsidRDefault="001679FF" w:rsidP="002758B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 w:rsidR="002758B2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https://doi.org/10.3390/nano11051280</w:t>
        </w:r>
      </w:hyperlink>
      <w:r w:rsidR="002758B2">
        <w:rPr>
          <w:rStyle w:val="eop"/>
          <w:rFonts w:ascii="Calibri" w:hAnsi="Calibri" w:cs="Calibri"/>
          <w:sz w:val="22"/>
          <w:szCs w:val="22"/>
        </w:rPr>
        <w:t> </w:t>
      </w:r>
    </w:p>
    <w:p w14:paraId="74362653" w14:textId="77777777" w:rsidR="002758B2" w:rsidRDefault="001679FF" w:rsidP="002758B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 w:rsidR="002758B2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https://register.epo.org/application?number=EP17808050</w:t>
        </w:r>
      </w:hyperlink>
      <w:r w:rsidR="002758B2">
        <w:rPr>
          <w:rStyle w:val="eop"/>
          <w:rFonts w:ascii="Calibri" w:hAnsi="Calibri" w:cs="Calibri"/>
          <w:sz w:val="22"/>
          <w:szCs w:val="22"/>
        </w:rPr>
        <w:t> </w:t>
      </w:r>
    </w:p>
    <w:p w14:paraId="5C692913" w14:textId="0B8CAFC8" w:rsidR="002758B2" w:rsidRDefault="001679FF" w:rsidP="002758B2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r:id="rId12" w:tgtFrame="_blank" w:history="1">
        <w:r w:rsidR="002758B2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https://isdv.upv.cz/webapp/resdb.print_detail.det?pspis=PT/2016-735</w:t>
        </w:r>
      </w:hyperlink>
      <w:r w:rsidR="002758B2">
        <w:rPr>
          <w:rStyle w:val="eop"/>
          <w:rFonts w:ascii="Calibri" w:hAnsi="Calibri" w:cs="Calibri"/>
          <w:sz w:val="22"/>
          <w:szCs w:val="22"/>
        </w:rPr>
        <w:t> </w:t>
      </w:r>
    </w:p>
    <w:p w14:paraId="2F403B03" w14:textId="4E24B423" w:rsidR="00911326" w:rsidRDefault="00911326" w:rsidP="002758B2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EDA1ACF" w14:textId="4B36EB7A" w:rsidR="00524DD2" w:rsidRDefault="00307756" w:rsidP="00911326">
      <w:pPr>
        <w:pStyle w:val="Normlnweb"/>
        <w:rPr>
          <w:i/>
          <w:iCs/>
        </w:rPr>
      </w:pPr>
      <w:r>
        <w:rPr>
          <w:i/>
          <w:iCs/>
        </w:rPr>
        <w:t>Ilustrační f</w:t>
      </w:r>
      <w:r w:rsidR="00911326" w:rsidRPr="00524DD2">
        <w:rPr>
          <w:i/>
          <w:iCs/>
        </w:rPr>
        <w:t>oto:</w:t>
      </w:r>
    </w:p>
    <w:p w14:paraId="1C1CAD1D" w14:textId="0FF950C8" w:rsidR="00911326" w:rsidRDefault="00911326" w:rsidP="00911326">
      <w:pPr>
        <w:pStyle w:val="Normlnweb"/>
      </w:pPr>
      <w:r>
        <w:br/>
        <w:t xml:space="preserve">1. </w:t>
      </w:r>
      <w:proofErr w:type="spellStart"/>
      <w:r w:rsidR="005E748D">
        <w:t>P</w:t>
      </w:r>
      <w:r>
        <w:t>etriho</w:t>
      </w:r>
      <w:proofErr w:type="spellEnd"/>
      <w:r>
        <w:t xml:space="preserve"> miska bez ošetřeni</w:t>
      </w:r>
    </w:p>
    <w:p w14:paraId="1329F679" w14:textId="27E8C633" w:rsidR="00911326" w:rsidRPr="00524DD2" w:rsidRDefault="00911326" w:rsidP="00911326">
      <w:pPr>
        <w:pStyle w:val="Normlnweb"/>
        <w:rPr>
          <w:b/>
          <w:bCs/>
        </w:rPr>
      </w:pPr>
      <w:r>
        <w:t xml:space="preserve">2. miska ošetřená pouze aktivní látkou </w:t>
      </w:r>
      <w:r>
        <w:br/>
        <w:t xml:space="preserve">3. miska ošetřená </w:t>
      </w:r>
      <w:r w:rsidRPr="00524DD2">
        <w:rPr>
          <w:b/>
          <w:bCs/>
        </w:rPr>
        <w:t>patentovaným materiálem</w:t>
      </w:r>
    </w:p>
    <w:p w14:paraId="28085D15" w14:textId="77777777" w:rsidR="00911326" w:rsidRDefault="00911326" w:rsidP="00911326">
      <w:pPr>
        <w:pStyle w:val="Normlnweb"/>
      </w:pPr>
    </w:p>
    <w:p w14:paraId="08D250C1" w14:textId="0804916E" w:rsidR="00911326" w:rsidRDefault="00911326" w:rsidP="00911326">
      <w:pPr>
        <w:pStyle w:val="Normlnweb"/>
      </w:pPr>
      <w:r>
        <w:rPr>
          <w:noProof/>
        </w:rPr>
        <w:drawing>
          <wp:inline distT="0" distB="0" distL="0" distR="0" wp14:anchorId="324BD77E" wp14:editId="3D3C08DE">
            <wp:extent cx="5760720" cy="1720850"/>
            <wp:effectExtent l="0" t="0" r="0" b="0"/>
            <wp:docPr id="1" name="Obrázek 1" descr="Obsah obrázku hrníček, stůl, jídlo, Petriho mis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hrníček, stůl, jídlo, Petriho miska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7894" w14:textId="77777777" w:rsidR="00911326" w:rsidRDefault="00911326" w:rsidP="002758B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49599F89" w14:textId="77777777" w:rsidR="002758B2" w:rsidRPr="001F37F3" w:rsidRDefault="002758B2" w:rsidP="002758B2"/>
    <w:p w14:paraId="6A546184" w14:textId="77777777" w:rsidR="00E866B2" w:rsidRDefault="00E866B2" w:rsidP="00E866B2">
      <w:pPr>
        <w:pStyle w:val="DatumRoboto"/>
      </w:pPr>
    </w:p>
    <w:p w14:paraId="422DF233" w14:textId="77777777" w:rsidR="003819F1" w:rsidRPr="007B65D6" w:rsidRDefault="003819F1" w:rsidP="003819F1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---------------------------------------------------------------------------------------------------------------------------Č</w:t>
      </w:r>
      <w:r w:rsidRPr="007B65D6">
        <w:rPr>
          <w:rFonts w:cs="Calibri"/>
          <w:b/>
          <w:lang w:eastAsia="ar-SA"/>
        </w:rPr>
        <w:t xml:space="preserve">eská zemědělská univerzita v Praze </w:t>
      </w:r>
    </w:p>
    <w:p w14:paraId="77B178EC" w14:textId="02D5591D" w:rsidR="003819F1" w:rsidRDefault="003819F1" w:rsidP="003819F1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</w:t>
      </w:r>
      <w:r w:rsidR="00AA3AC8">
        <w:rPr>
          <w:sz w:val="20"/>
          <w:szCs w:val="20"/>
          <w:lang w:eastAsia="ar-SA"/>
        </w:rPr>
        <w:t>patnáctiletou</w:t>
      </w:r>
      <w:r>
        <w:rPr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 a na 5. místě z hodnocených univerzit v ČR.</w:t>
      </w:r>
    </w:p>
    <w:p w14:paraId="6E78F33D" w14:textId="77777777" w:rsidR="003819F1" w:rsidRPr="007B65D6" w:rsidRDefault="003819F1" w:rsidP="003819F1">
      <w:pPr>
        <w:pBdr>
          <w:bottom w:val="single" w:sz="6" w:space="1" w:color="auto"/>
        </w:pBdr>
        <w:rPr>
          <w:b/>
        </w:rPr>
      </w:pPr>
      <w:r w:rsidRPr="007B65D6">
        <w:rPr>
          <w:b/>
        </w:rPr>
        <w:t>Kontakt pro novináře:</w:t>
      </w:r>
      <w:r w:rsidRPr="007B65D6">
        <w:rPr>
          <w:b/>
        </w:rPr>
        <w:tab/>
      </w:r>
    </w:p>
    <w:p w14:paraId="31184E97" w14:textId="77777777" w:rsidR="003819F1" w:rsidRPr="007B65D6" w:rsidRDefault="003819F1" w:rsidP="003819F1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4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0C8BD232" w14:textId="77777777" w:rsidR="003819F1" w:rsidRDefault="003819F1" w:rsidP="00E866B2">
      <w:pPr>
        <w:pStyle w:val="DatumRoboto"/>
      </w:pPr>
    </w:p>
    <w:p w14:paraId="6B0B8BBF" w14:textId="77777777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15"/>
      <w:headerReference w:type="first" r:id="rId16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1457" w14:textId="77777777" w:rsidR="00282E35" w:rsidRDefault="00282E35" w:rsidP="00091D49">
      <w:r>
        <w:separator/>
      </w:r>
    </w:p>
  </w:endnote>
  <w:endnote w:type="continuationSeparator" w:id="0">
    <w:p w14:paraId="7A98C348" w14:textId="77777777" w:rsidR="00282E35" w:rsidRDefault="00282E35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EDC0" w14:textId="77777777" w:rsidR="00282E35" w:rsidRDefault="00282E35" w:rsidP="00091D49">
      <w:r>
        <w:separator/>
      </w:r>
    </w:p>
  </w:footnote>
  <w:footnote w:type="continuationSeparator" w:id="0">
    <w:p w14:paraId="6C3AF278" w14:textId="77777777" w:rsidR="00282E35" w:rsidRDefault="00282E35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6989" w14:textId="77777777" w:rsidR="00091D49" w:rsidRPr="00091D49" w:rsidRDefault="001679FF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6B1ED52" wp14:editId="22EA5CA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F3AB7" w14:textId="0D4F0273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9344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B1ED52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592F3AB7" w14:textId="0D4F0273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9344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3F02717" wp14:editId="7F186356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303B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5A7CD1B" wp14:editId="717470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F1"/>
    <w:rsid w:val="00071E4A"/>
    <w:rsid w:val="00080B21"/>
    <w:rsid w:val="00091D49"/>
    <w:rsid w:val="000E078F"/>
    <w:rsid w:val="001679FF"/>
    <w:rsid w:val="00183755"/>
    <w:rsid w:val="001A0294"/>
    <w:rsid w:val="001D6585"/>
    <w:rsid w:val="00217A8E"/>
    <w:rsid w:val="00266416"/>
    <w:rsid w:val="002758B2"/>
    <w:rsid w:val="00282E35"/>
    <w:rsid w:val="002A1955"/>
    <w:rsid w:val="00307756"/>
    <w:rsid w:val="0035063B"/>
    <w:rsid w:val="00366CE9"/>
    <w:rsid w:val="003819F1"/>
    <w:rsid w:val="00433020"/>
    <w:rsid w:val="00504549"/>
    <w:rsid w:val="005129CA"/>
    <w:rsid w:val="00524DD2"/>
    <w:rsid w:val="005E748D"/>
    <w:rsid w:val="005F0305"/>
    <w:rsid w:val="00637A19"/>
    <w:rsid w:val="006B7C2B"/>
    <w:rsid w:val="007005C0"/>
    <w:rsid w:val="007027E3"/>
    <w:rsid w:val="00710A92"/>
    <w:rsid w:val="00726E84"/>
    <w:rsid w:val="00763969"/>
    <w:rsid w:val="0088633B"/>
    <w:rsid w:val="00911326"/>
    <w:rsid w:val="00945FA4"/>
    <w:rsid w:val="00961E77"/>
    <w:rsid w:val="009765B4"/>
    <w:rsid w:val="00A257EE"/>
    <w:rsid w:val="00A305B8"/>
    <w:rsid w:val="00AA3AC8"/>
    <w:rsid w:val="00AA772B"/>
    <w:rsid w:val="00B1141B"/>
    <w:rsid w:val="00BC32DD"/>
    <w:rsid w:val="00C12190"/>
    <w:rsid w:val="00C9344D"/>
    <w:rsid w:val="00CD2026"/>
    <w:rsid w:val="00CD33FB"/>
    <w:rsid w:val="00D7105E"/>
    <w:rsid w:val="00D765CD"/>
    <w:rsid w:val="00DA646C"/>
    <w:rsid w:val="00DD0D0C"/>
    <w:rsid w:val="00E75F12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F81641"/>
  <w15:chartTrackingRefBased/>
  <w15:docId w15:val="{01328D2E-7B71-40D5-A02D-C3341834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9F1"/>
    <w:pPr>
      <w:spacing w:after="0" w:line="240" w:lineRule="auto"/>
    </w:pPr>
    <w:rPr>
      <w:rFonts w:ascii="Calibri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3819F1"/>
    <w:rPr>
      <w:color w:val="0000FF"/>
      <w:u w:val="single"/>
    </w:rPr>
  </w:style>
  <w:style w:type="paragraph" w:customStyle="1" w:styleId="paragraph">
    <w:name w:val="paragraph"/>
    <w:basedOn w:val="Normln"/>
    <w:rsid w:val="00DA646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DA646C"/>
  </w:style>
  <w:style w:type="character" w:customStyle="1" w:styleId="eop">
    <w:name w:val="eop"/>
    <w:basedOn w:val="Standardnpsmoodstavce"/>
    <w:rsid w:val="00DA646C"/>
  </w:style>
  <w:style w:type="character" w:customStyle="1" w:styleId="spellingerror">
    <w:name w:val="spellingerror"/>
    <w:basedOn w:val="Standardnpsmoodstavce"/>
    <w:rsid w:val="00DA646C"/>
  </w:style>
  <w:style w:type="paragraph" w:styleId="Normlnweb">
    <w:name w:val="Normal (Web)"/>
    <w:basedOn w:val="Normln"/>
    <w:uiPriority w:val="99"/>
    <w:semiHidden/>
    <w:unhideWhenUsed/>
    <w:rsid w:val="00911326"/>
    <w:rPr>
      <w:rFonts w:eastAsiaTheme="minorHAns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639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39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3969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3969"/>
    <w:rPr>
      <w:rFonts w:ascii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4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44D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sdv.upv.cz/webapp/resdb.print_detail.det?pspis=PT/2016-73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ister.epo.org/application?number=EP1780805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oi.org/10.3390/nano1105128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APPZ\CZU_FAPPZ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3DA7B-76E2-49E0-9808-9C711942C99C}">
  <ds:schemaRefs>
    <ds:schemaRef ds:uri="http://purl.org/dc/elements/1.1/"/>
    <ds:schemaRef ds:uri="http://schemas.microsoft.com/office/2006/metadata/properties"/>
    <ds:schemaRef ds:uri="a7a4647f-a224-445a-b14b-39d0c1e720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63C3D4-E3BF-4C4A-951F-1FE480456C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1CE84D-A4EA-4206-8F74-B8D000CD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87FA1-D667-414B-8D46-05F6A6645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CZU_FAPPZ_Tiskova zprava.dotx</Template>
  <TotalTime>57</TotalTime>
  <Pages>2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4</cp:revision>
  <dcterms:created xsi:type="dcterms:W3CDTF">2021-06-03T10:05:00Z</dcterms:created>
  <dcterms:modified xsi:type="dcterms:W3CDTF">2021-06-07T14:28:00Z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